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2006-2738 6989 vom 8. Dezember 1977</w:t>
      </w:r>
    </w:p>
    <w:p>
      <w:r>
        <w:t>Bundesverwaltung, 1977-12-08, DE</w:t>
      </w:r>
    </w:p>
    <w:p>
      <w:r>
        <w:rPr>
          <w:b/>
        </w:rPr>
        <w:t xml:space="preserve">Quelle: </w:t>
      </w:r>
      <w:r>
        <w:t>https://mcp.opencaselaw.ch/entscheid/ch_vb_2006-2738_6989_</w:t>
      </w:r>
    </w:p>
    <w:p>
      <w:r>
        <w:t>FR: CH_VB 2006-2738 6989 du 8 décembre 1977</w:t>
      </w:r>
    </w:p>
    <w:p>
      <w:r>
        <w:t>IT: CH_VB 2006-2738 6989 del 8 dicembre 1977</w:t>
      </w:r>
    </w:p>
    <w:p>
      <w:pPr>
        <w:pStyle w:val="Heading2"/>
      </w:pPr>
      <w:r>
        <w:t>Erwägungen</w:t>
      </w:r>
    </w:p>
    <w:p>
      <w:r>
        <w:rPr>
          <w:b/>
        </w:rPr>
        <w:t>E. 1</w:t>
      </w:r>
    </w:p>
    <w:p>
      <w:r>
        <w:t>Traduction du texte original allemand.</w:t>
      </w:r>
    </w:p>
    <w:p>
      <w:r>
        <w:t>Protocole de révision concernant la convention de double imposition avec la Grande-Bretagne et l’Irlande du Nord 6990 Art. II Le par. 3 de l’art. 4 de la convention (résidence) est abrogé et remplacé par la dispo- sition suivante: «3. Lorsque, selon les dispositions du par. 1, une personne autre qu’une personne physique est un résident des deux Etats contractants, elle est considérée comme un résident de l’Etat où son siège de direction effective est situé. En cas de doute quant au lieu du siège de direction effective, les autorités compétentes des deux Etats contractants s’efforcent de déterminer ce lieu par voie d’accord amiable, en tenant compte de tous les aspects déterminants. En l’absence d’un tel accord, la personne n’a pas le droit de faire valoir les avantages de la présente convention, à l’exception du par. 1 de l’art. 22 (élimination des doubles impositions), de l’art. 23 (non- discrimination) et de l’art. 24 (procédure amiable).» Art. III A. Les par. 1 à 3 de l’art. 10 de la convention (dividendes) sont abrogés et rempla- cés par les dispositions suivantes: «1. Les dividendes payés par une société qui est un résident d’un Etat contractant à un résident de l’autre Etat contractant sont imposables dans cet autre Etat.</w:t>
      </w:r>
    </w:p>
    <w:p>
      <w:r>
        <w:rPr>
          <w:b/>
        </w:rPr>
        <w:t>E. 2</w:t>
      </w:r>
    </w:p>
    <w:p>
      <w:r>
        <w:t>Nonobstant les dispositions du par. 1, les prestations en capital versées par une institution de prévoyance d’un Etat contractant à un bénéficiaire effectif résident de l’autre Etat contractant ne sont imposables que dans le premier Etat.</w:t>
      </w:r>
    </w:p>
    <w:p>
      <w:r>
        <w:rPr>
          <w:b/>
        </w:rPr>
        <w:t>E. 3</w:t>
      </w:r>
    </w:p>
    <w:p>
      <w:r>
        <w:t>Les cotisations versées par une personne physique (ou pour son compte) au titre d’un emploi salarié ou d’une activité indépendante qu’elle exerce dans un Etat contractant, à savoir l’«Etat d’accueil», à une institution de prévoyance reconnue aux fins de l’imposition dans l’autre Etat contractant, à savoir l’«Etat d’origine» sont, aux fins a) de déterminer l’impôt payable par cette personne dans l’Etat d’accueil, et b) de déterminer le bénéfice de son employeur qui est imposable dans l’Etat d’accueil, traitées dans cet Etat de la même façon et selon les mêmes conditions et restrictions que les cotisations versées à une institution de prévoyance reconnue aux fins de l’imposition dans cet Etat, pour autant que ces cotisations ne fassent pas l’objet d’un tel traitement dans l’Etat d’origine.</w:t>
      </w:r>
    </w:p>
    <w:p>
      <w:r>
        <w:rPr>
          <w:b/>
        </w:rPr>
        <w:t>E. 4</w:t>
      </w:r>
    </w:p>
    <w:p>
      <w:r>
        <w:t>Le par. 3 n’est applicable que si les conditions suivantes sont réunies: a) la personne physique est soumise au droit de l’Etat d’origine conformément à l’accord sur la libre circulation des personnes conclu le 21 juin 1999 entre la Suisse, d’un côté, et la Communauté européenne et ses Etats membres, de l’autre, et b) la personne physique n’était pas un résident de l’Etat d’accueil et elle était affiliée à une institution de prévoyance (ou à une autre institution de pré- voyance équivalente qui a été remplacée par l’institution de prévoyance mentionnée en premier lieu) immédiatement avant d’exercer son emploi salarié ou son activité indépendante dans l’Etat d’accueil, et c) l’institution de prévoyance est acceptée par l’autorité compétente de l’Etat d’accueil comme correspondant de façon générale à une institution de prévoyance reconnue comme telle aux fins de l’imposition dans l’Etat d’accueil.</w:t>
      </w:r>
    </w:p>
    <w:p>
      <w:r>
        <w:rPr>
          <w:b/>
        </w:rPr>
        <w:t>E. 5</w:t>
      </w:r>
    </w:p>
    <w:p>
      <w:r>
        <w:t>Il est entendu que, en cas de fraude fiscale ou d’infraction équivalente, le secret bancaire ne fait pas obstacle à l’obtention de moyens de preuves sous forme de documents auprès de banques et à leur transmission à l’autorité compétente de l’Etat requérant. Un échange de renseignements implique toutefois qu’il y ait un lien direct entre le comportement frauduleux et la mesure d’assistance administrative requise.</w:t>
      </w:r>
    </w:p>
    <w:p>
      <w:r>
        <w:rPr>
          <w:b/>
        </w:rPr>
        <w:t>E. 6</w:t>
      </w:r>
    </w:p>
    <w:p>
      <w:r>
        <w:t>Les deux Etats contractants sont convenus, d’une part, que l’application de l’art. 25, par. 1, let. c) présuppose la réciprocité en fait et en droit et, d’autre part, que l’assistance administrative au titre de cet alinéa n’est accordée que si la demande est motivée. Dans la mesure où le Gouvernement du Royaume-Uni de Grande-Bretagne et d’Irlande du Nord approuve les propositions formulées ci-dessus, j’ai l’honneur de proposer que la présente note ainsi que la réponse que Votre Excellence voudra bien y apporter soient considérées comme un accord entre les deux gouvernements fai- sant partie intégrante de la convention.» Le Gouvernement du Royaume-Uni de Grande-Bretagne et d’Irlande du Nord approuve les propositions formulées ci-dessus et j’ai l’honneur de confirmer que la note de Votre Excellence et la présente réponse sont considérées comme un accord entre les deux gouvernements faisant partie intégrante de la convention. Je saisis cette occasion pour vous renouveler, Excellence, l’assurance de ma haute considération.</w:t>
      </w:r>
    </w:p>
    <w:p>
      <w:r>
        <w:t>Dawn Primarolo</w:t>
      </w:r>
    </w:p>
    <w:p>
      <w:r>
        <w:t>Schweizerisches Bundesarchiv, Digitale Amtsdruckschriften Archives fédérales suisses, Publications officielles numérisées Archivio federale svizzero, Pubblicazioni ufficiali digitali Protocole entre la Confédération suisse et le Royaume-Uni de Grande-Bretagne et d'Irlande du Nord modifiant la convention en vue d'éviter les doubles impositions en matière d'impôts sur le revenu signée à Londres le 8 décembre 1977, dans sa version c... In Bundesblatt Dans Feuille fédérale In Foglio federale Jahr 2008 Année Anno Band 1 Volume Volume Heft 37 Cahier Numero Geschäftsnummer --- Numéro d'affaire Numero dell'oggetto Datum 16.09.2008 Date Data Seite 6989-7000 Page Pagina Ref. No</w:t>
      </w:r>
    </w:p>
    <w:p>
      <w:r>
        <w:rPr>
          <w:b/>
        </w:rPr>
        <w:t>E. 10</w:t>
      </w:r>
    </w:p>
    <w:p>
      <w:r>
        <w:t>142 112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