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2006-2721 1697 vom 9. Oktober 2006</w:t>
      </w:r>
    </w:p>
    <w:p>
      <w:r>
        <w:t>Bundesverwaltung, 2006-10-09, DE</w:t>
      </w:r>
    </w:p>
    <w:p>
      <w:r>
        <w:rPr>
          <w:b/>
        </w:rPr>
        <w:t xml:space="preserve">Quelle: </w:t>
      </w:r>
      <w:r>
        <w:t>https://mcp.opencaselaw.ch/entscheid/ch_vb_2006-2721_1697_</w:t>
      </w:r>
    </w:p>
    <w:p>
      <w:r>
        <w:t>FR: CH_VB 2006-2721 1697 du 9 octobre 2006</w:t>
      </w:r>
    </w:p>
    <w:p>
      <w:r>
        <w:t>IT: CH_VB 2006-2721 1697 del 9 ottobre 2006</w:t>
      </w:r>
    </w:p>
    <w:p>
      <w:pPr>
        <w:pStyle w:val="Heading2"/>
      </w:pPr>
      <w:r>
        <w:t>Erwägungen</w:t>
      </w:r>
    </w:p>
    <w:p>
      <w:r>
        <w:rPr>
          <w:b/>
        </w:rPr>
        <w:t>E. 1</w:t>
      </w:r>
    </w:p>
    <w:p>
      <w:r>
        <w:t>Dans la présente convention, (a) «Etats contractants» désigne la Confédération suisse et le Gouvernement d’Australie; (b) «territoire» désigne, (i) en ce qui concerne la Suisse, le territoire de la Suisse, (ii) en ce qui concerne l’Australie, l’Australie telle que définie dans la légi- slation australienne; (c) «ressortissant» désigne, (i) en ce qui concerne la Suisse, une personne de nationalité suisse, (ii) en ce qui concerne l’Australie, une personne de nationalité australienne; (d) «législation» désigne, (i) en ce qui concerne la Suisse, les lois mentionnées au par. 1 (a) de l’art. 2; (ii) en ce qui concerne l’Australie, la loi mentionnée au par. 1 (b) (i) de l’art. 2, sauf en ce qui concerne l’application du titre II de la présente convention (ainsi que celle d’autres titres de la convention dans la mesure où ils concernent l’application du titre II); dans ce cas cela dési- gne les lois mentionnées au par. 1 (b) (ii) de l’art. 2;</w:t>
      </w:r>
    </w:p>
    <w:p>
      <w:r>
        <w:t>Sécurité sociale. Convention avec l’Australie</w:t>
      </w:r>
    </w:p>
    <w:p>
      <w:r>
        <w:t>1698 (e) «autorité compétente» désigne, (i) en ce qui concerne la Suisse, l’Office fédéral des assurances sociales, (ii) en ce qui concerne l’Australie, le Secrétaire du Département chargé de l’application de la législation mentionnée au par. 1 (b) (i) de l’art. 2, sauf s’agissant de l’application du titre II de la présente convention (ainsi que celle d’autres titres de la convention dans la mesure où ils concernent l’application du titre II), où cette expression désigne le «Commissioner of Taxation» ou un représentant officiel de ce «Com- missioner»; (f) «institution compétente» désigne, (i) en ce qui concerne la Suisse, l’organisme chargé de l’application de la législation suisse concernée, (ii) en ce qui concerne l’Australie, l’institution ou l’organisme chargé de l’application de la législation australienne concernée; (g) «période de résidence en Australie pendant la vie active» désigne, en ce qui concerne une personne, la période définie comme telle dans la législation australienne, mais ne comprend pas la période considérée à l’art. 18 comme une période durant laquelle cette personne était résidente australienne; (h) «période d’assurance» désigne, en ce qui concerne la Suisse, les périodes de cotisation ainsi que les périodes qui leur sont assimilées, que la législation suisse définit ou reconnaît comme périodes d’assurance; (i) «prestation» désigne, en ce qui concerne un Etat contractant, une prestation, une pension (rente) ou une allocation prévue par la législation de cet Etat, y compris tout montant additionnel, majoration ou supplément versé en sus de ladite prestation, pension (rente) ou allocation, mais en ce qui concerne l’Australie, ce terme n’inclut pas les prestations, versements ou droits à pres- tation soumis à la loi relative à la «superannuation guarantee»; (j) «résider» désigne, en ce qui concerne la Suisse, séjourner habituellement; (k) «domicile» désigne, en ce qui concerne la Suisse et au sens du Code civil suisse, le lieu où une personne réside avec l’intention de s’y établir; (l) «réfugiés» désigne les réfugiés au sens de la Convention du 28 juillet 1951 relative au statut des réfugiés et du Protocole du 31 janvier 1967 relatif au statut des réfugiés; (m) «apatrides» désigne les personnes apatrides au sens de la Convention du 28 septembre 1954 relative au statut des apatrides; (n) «membres de la famille et survivants» désigne, en ce qui concerne la Suisse, les membres de la famille et les survivants qui fondent leurs droits sur ceux d’un ressortissant des Etats contractants, d’un réfugié ou d’un apatride; (o) «personne veuve» désigne, en ce qui concerne l’Australie, une personne qui ne fait plus partie d’un couple en raison du décès de son conjoint légal, mais n’inclut pas les personnes ayant un ou une partenaire.</w:t>
      </w:r>
    </w:p>
    <w:p>
      <w:r>
        <w:t>Sécurité sociale. Convention avec l’Australie</w:t>
      </w:r>
    </w:p>
    <w:p>
      <w:r>
        <w:t>1699</w:t>
      </w:r>
    </w:p>
    <w:p>
      <w:r>
        <w:rPr>
          <w:b/>
        </w:rPr>
        <w:t>E. 2</w:t>
      </w:r>
    </w:p>
    <w:p>
      <w:r>
        <w:t>En dérogation aux dispositions de l’al. 1 (b), la présente convention est applicable aux femmes qui reçoivent une pension d’épouse à la date où la présente convention entre en vigueur et qui sont épouses de: (a) personnes au bénéfice d’une pension de vieillesse; ou de (b) personnes au bénéfice d’une pension d’assistance pour personne gravement invalide.</w:t>
      </w:r>
    </w:p>
    <w:p>
      <w:r>
        <w:rPr>
          <w:b/>
        </w:rPr>
        <w:t>E. 3</w:t>
      </w:r>
    </w:p>
    <w:p>
      <w:r>
        <w:t>La présente convention ne s’applique aux lois et réglementations qui étendent la législation existante à de nouvelles catégories de bénéficiaires ou à de nouvelles branches de la sécurité sociale que si les deux Etats contractants en conviennent dans un protocole à la présente convention.</w:t>
      </w:r>
    </w:p>
    <w:p>
      <w:r>
        <w:rPr>
          <w:b/>
        </w:rPr>
        <w:t>E. 4</w:t>
      </w:r>
    </w:p>
    <w:p>
      <w:r>
        <w:t>Lorsque le droit à une prestation australienne est soumis à une restriction de temps, toute référence à l’Australie dans cette restriction fait aussi référence au territoire de la Suisse.</w:t>
      </w:r>
    </w:p>
    <w:p>
      <w:r>
        <w:rPr>
          <w:b/>
        </w:rPr>
        <w:t>E. 5</w:t>
      </w:r>
    </w:p>
    <w:p>
      <w:r>
        <w:t>Lorsqu’en vertu de la législation australienne sur la sécurité sociale une pension d’orphelin de père et de mère serait accordée à une personne pour le compte d’une jeune personne dont le parent survivant est décédé alors qu’elle était résidente aus- tralienne, à la condition que cette personne et la jeune personne soient résidentes australiennes, cette pension doit, sauf disposition contraire de ladite législation, être versée si cette personne et cette jeune personne résident en Suisse.</w:t>
      </w:r>
    </w:p>
    <w:p>
      <w:r>
        <w:rPr>
          <w:b/>
        </w:rPr>
        <w:t>E. 6</w:t>
      </w:r>
    </w:p>
    <w:p>
      <w:r>
        <w:t>Les dispositions du présent article ne s’appliquent pas aux prestations aux don- neurs de soins.</w:t>
      </w:r>
    </w:p>
    <w:p>
      <w:r>
        <w:rPr>
          <w:b/>
        </w:rPr>
        <w:t>E. 7</w:t>
      </w:r>
    </w:p>
    <w:p>
      <w:r>
        <w:t>Lorsqu’une personne quitte temporairement l’Australie, les dispositions du par. 4 restent applicables durant vingt-six semaines.</w:t>
      </w:r>
    </w:p>
    <w:p>
      <w:r>
        <w:rPr>
          <w:b/>
        </w:rPr>
        <w:t>E. 8</w:t>
      </w:r>
    </w:p>
    <w:p>
      <w:r>
        <w:t>Lorsqu’une personne obtient une indemnité unique selon la législation suisse en application de l’art. 14, par. 1 et 2, le montant de cette indemnité est compté, lors du calcul du taux de la prestation australienne, comme revenu pour une période de</w:t>
      </w:r>
    </w:p>
    <w:p>
      <w:r>
        <w:rPr>
          <w:b/>
        </w:rPr>
        <w:t>E. 12</w:t>
      </w:r>
    </w:p>
    <w:p>
      <w:r>
        <w:t>Cahier Numero Geschäftsnummer --- Numéro d'affaire Numero dell'oggetto Datum 20.03.2007 Date Data Seite 1697-1716 Page Pagina Ref. No 10 140 432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