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2006-2137 6423 vom 9. August 2006</w:t>
      </w:r>
    </w:p>
    <w:p>
      <w:r>
        <w:t>Bundesverwaltung, 2006-08-09, DE</w:t>
      </w:r>
    </w:p>
    <w:p>
      <w:r>
        <w:rPr>
          <w:b/>
        </w:rPr>
        <w:t xml:space="preserve">Quelle: </w:t>
      </w:r>
      <w:r>
        <w:t>https://mcp.opencaselaw.ch/entscheid/ch_vb_2006-2137_6423_</w:t>
      </w:r>
    </w:p>
    <w:p>
      <w:r>
        <w:t>FR: CH_VB 2006-2137 6423 du 9 août 2006</w:t>
      </w:r>
    </w:p>
    <w:p>
      <w:r>
        <w:t>IT: CH_VB 2006-2137 6423 del 9 agosto 2006</w:t>
      </w:r>
    </w:p>
    <w:p>
      <w:pPr>
        <w:pStyle w:val="Heading2"/>
      </w:pPr>
      <w:r>
        <w:t>Erwägungen</w:t>
      </w:r>
    </w:p>
    <w:p>
      <w:r>
        <w:rPr>
          <w:b/>
        </w:rPr>
        <w:t>E. 1</w:t>
      </w:r>
    </w:p>
    <w:p>
      <w:r>
        <w:t>La défenderesse est exclue de la procédure.</w:t>
      </w:r>
    </w:p>
    <w:p>
      <w:r>
        <w:rPr>
          <w:b/>
        </w:rPr>
        <w:t>E. 2</w:t>
      </w:r>
    </w:p>
    <w:p>
      <w:r>
        <w:t>L’opposition no 8057 contre la protection en Suisse d’une partie de l’enre- gistrement international no 861 397 «Myr Private Assurance Plan» (fig.) est admise.</w:t>
      </w:r>
    </w:p>
    <w:p>
      <w:r>
        <w:rPr>
          <w:b/>
        </w:rPr>
        <w:t>E. 3</w:t>
      </w:r>
    </w:p>
    <w:p>
      <w:r>
        <w:t>La taxe d’opposition de 800 francs reste acquise à l’Institut.</w:t>
      </w:r>
    </w:p>
    <w:p>
      <w:r>
        <w:rPr>
          <w:b/>
        </w:rPr>
        <w:t>E. 4</w:t>
      </w:r>
    </w:p>
    <w:p>
      <w:r>
        <w:t>Il est mis à la charge de la défenderesse le paiement à l’opposante d’une somme de 1800 francs à titre de dépens (y compris 800 francs à titre de rem- boursement de la taxe d’opposition).</w:t>
      </w:r>
    </w:p>
    <w:p>
      <w:r>
        <w:rPr>
          <w:b/>
        </w:rPr>
        <w:t>E. 5</w:t>
      </w:r>
    </w:p>
    <w:p>
      <w:r>
        <w:t>Quand la présente décision sera entrée en force, il sera émis une déclaration de refus définitif pour une partie des services visés dans la présente pro- cédure, à savoir: «publicité»; «gestion des affaires commerciales; administ- ration commerciale»; «travaux de bureau» (classe 35); «assurances, affaires financières; affaires monétaires; affaires immobilières» (classe 36). En revanche, comme indiqué dans le refus provisoire du 30 janvier 2006, les services de la classe 41 (qui n’étaient pas visés par la présente opposition), sont admis à la protection.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w:t>
      </w:r>
    </w:p>
    <w:p>
      <w:r>
        <w:rPr>
          <w:b/>
        </w:rPr>
        <w:t>E. 9</w:t>
      </w:r>
    </w:p>
    <w:p>
      <w:r>
        <w:t>août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8057 In Bundesblatt Dans Feuille fédérale In Foglio federale Jahr 2006 Année Anno Band 1 Volume Volume Heft 33 Cahier Numero Geschäftsnummer --- Numéro d'affaire Numero dell'oggetto Datum 22.08.2006 Date Data Seite 6423-6423 Page Pagina Ref. No</w:t>
      </w:r>
    </w:p>
    <w:p>
      <w:r>
        <w:rPr>
          <w:b/>
        </w:rPr>
        <w:t>E. 10</w:t>
      </w:r>
    </w:p>
    <w:p>
      <w:r>
        <w:t>139 838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