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2006-1875 5893 vom 12. Juni 1995</w:t>
      </w:r>
    </w:p>
    <w:p>
      <w:r>
        <w:t>Bundesverwaltung, 1995-06-12, DE</w:t>
      </w:r>
    </w:p>
    <w:p>
      <w:r>
        <w:rPr>
          <w:b/>
        </w:rPr>
        <w:t xml:space="preserve">Quelle: </w:t>
      </w:r>
      <w:r>
        <w:t>https://mcp.opencaselaw.ch/entscheid/ch_vb_2006-1875_5893_</w:t>
      </w:r>
    </w:p>
    <w:p>
      <w:r>
        <w:t>FR: CH_VB 2006-1875 5893 du 12 juin 1995</w:t>
      </w:r>
    </w:p>
    <w:p>
      <w:r>
        <w:t>IT: CH_VB 2006-1875 5893 del 12 giugno 1995</w:t>
      </w:r>
    </w:p>
    <w:p>
      <w:pPr>
        <w:pStyle w:val="Heading2"/>
      </w:pPr>
      <w:r>
        <w:t>Volltext</w:t>
      </w:r>
    </w:p>
    <w:p>
      <w:r>
        <w:t>2006-1875 5893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11 juillet 2006 SECO – Direction du travail Installations et appareils techniques:</w:t>
      </w:r>
    </w:p>
    <w:p>
      <w:r>
        <w:t>Marcel Berthoud Annexe Normes techniques pour appareils à gaz Numéro Titre</w:t>
      </w:r>
    </w:p>
    <w:p>
      <w:r>
        <w:t>Norme remplacée Réféérence journal off.-CE</w:t>
      </w:r>
    </w:p>
    <w:p>
      <w:r>
        <w:t>EN 30-2-1/A2 Appareils de cuisson domestiques utilisant les combustibles gazeux – Partie 2-1: Utilisation rationelle de l’énergie – Généralités – Amendement A2</w:t>
      </w:r>
    </w:p>
    <w:p>
      <w:r>
        <w:t>Note 3 2006/C97/04 EN 521 Spécifications pour les appareils fonc- tionnant exclusivement aux gaz de pétrole liquéfiés – Appareils portatifs alimentés à la pression de vapeur des gaz pétrole liquéfiés contenus dans leurs récipients d’alimentation</w:t>
      </w:r>
    </w:p>
    <w:p>
      <w:r>
        <w:t>EN 521:1998 2006/C 128/02 Note 3: Dans le cas d’amendements, la norme de référence est EN CCCCC:YYYY, ses amen- dements précédents le cas échéant et le nouvel amendement cité. La norme remplacée (colonne 4) est constituée dès lors de la norme EN CCCCC:YYYY et de ses amendements précédents le cas échéant, mais sans le nouvel amendement cité. A la date précisée, la norme remplacée cesse de donner la présomption de conformité aux exigences essentielles de la directive.</w:t>
      </w:r>
    </w:p>
    <w:p>
      <w:r>
        <w:t>1 Voir également FF 1995 III 1341, 1996 I 336, 1996 III 126, 1996 V 502, 1997 IV 503, 1999 8988, 2000 5636, 2001 3939, 2002 2469, 2003 4871 5545 6675, 2004 953 2411, 2005 891 4086, 2006 1879 3792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27 Cahier Numero Geschäftsnummer --- Numéro d'affaire Numero dell'oggetto Datum 11.07.2006 Date Data Seite 5893-5893 Page Pagina Ref. No 10 139 766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