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2006-0554 4449 vom 22. Juni 2007</w:t>
      </w:r>
    </w:p>
    <w:p>
      <w:r>
        <w:t>Bundesverwaltung, 2007-06-22, DE</w:t>
      </w:r>
    </w:p>
    <w:p>
      <w:r>
        <w:rPr>
          <w:b/>
        </w:rPr>
        <w:t xml:space="preserve">Quelle: </w:t>
      </w:r>
      <w:r>
        <w:t>https://mcp.opencaselaw.ch/entscheid/ch_vb_2006-0554_4449_</w:t>
      </w:r>
    </w:p>
    <w:p>
      <w:r>
        <w:t>FR: CH_VB 2006-0554 4449 du 22 juin 2007</w:t>
      </w:r>
    </w:p>
    <w:p>
      <w:r>
        <w:t>IT: CH_VB 2006-0554 4449 del 22 giugno 2007</w:t>
      </w:r>
    </w:p>
    <w:p>
      <w:pPr>
        <w:pStyle w:val="Heading2"/>
      </w:pPr>
      <w:r>
        <w:t>Erwägungen</w:t>
      </w:r>
    </w:p>
    <w:p>
      <w:r>
        <w:rPr>
          <w:b/>
        </w:rPr>
        <w:t>E. 1</w:t>
      </w:r>
    </w:p>
    <w:p>
      <w:r>
        <w:t>La Confédération prend notamment les mesures suivantes: bbis. soutenir l’utilisation durable des ressources naturelles; Art. 3, al. 2 et 4</w:t>
      </w:r>
    </w:p>
    <w:p>
      <w:r>
        <w:rPr>
          <w:b/>
        </w:rPr>
        <w:t>E. 2</w:t>
      </w:r>
    </w:p>
    <w:p>
      <w:r>
        <w:t>Les mesures prévues au chap. 1 du titre 2, ainsi qu’aux titres 5 à 7, sont applicables à l’horticulture productrice.</w:t>
      </w:r>
    </w:p>
    <w:p>
      <w:r>
        <w:rPr>
          <w:b/>
        </w:rPr>
        <w:t>E. 4</w:t>
      </w:r>
    </w:p>
    <w:p>
      <w:r>
        <w:t>La Confédération peut définir des symboles pour les désignations prévues aux art. 14 à 16. Leur utilisation est facultative.</w:t>
      </w:r>
    </w:p>
    <w:p>
      <w:r>
        <w:rPr>
          <w:b/>
        </w:rPr>
        <w:t>E. 5</w:t>
      </w:r>
    </w:p>
    <w:p>
      <w:r>
        <w:t>L’utilisation de ces symboles est obligatoire pour les campagnes de promotion incluant des mesures au sens de l’art. 12. Art. 15, al. 2 2 Les produits ne peuvent être désignés comme étant issus de l’agriculture biolo- gique que si les règles de la production sont appliquées dans l’ensemble de l’exploi- tation. Le Conseil fédéral peut accorder des dérogations notamment à des exploita- tions pratiquant les cultures pérennes pour autant que l’intégrité du mode de production biologique et sa contrôlabilité ne soient pas compromises. Art. 16b Défense des appellations d’origine et des indications géographiques sur le plan international 1 La Confédération soutient les interprofessions, les organisations de producteurs et les organisations de transformateurs dans la défense, sur le plan international, des appellations d’origine et des indications géographiques suisses. 2 Elle peut prendre en charge une partie des frais découlant des procédures engagées par les représentations suisses à l’étranger à la demande d’interprofessions, d’organi- sations de producteurs ou d’organisations de transformateurs pour défendre des appellations d’origine ou des indications géographiques. Art. 20, al. 2, 2e phrase, 4 et 7 2 … Le Conseil fédéral définit les modalités de calcul du prix franco frontière, non taxé. 4 Le département détermine dans quelle mesure la somme du droit de douane et du prix franco frontière, non taxé, peut s’écarter du prix-seuil, sans que le taux du droit de douane doive être adapté (fourchette).</w:t>
      </w:r>
    </w:p>
    <w:p>
      <w:r>
        <w:rPr>
          <w:b/>
        </w:rPr>
        <w:t>E. 7</w:t>
      </w:r>
    </w:p>
    <w:p>
      <w:r>
        <w:t>RS 251</w:t>
      </w:r>
    </w:p>
    <w:p>
      <w:r>
        <w:rPr>
          <w:b/>
        </w:rPr>
        <w:t>E. 8</w:t>
      </w:r>
    </w:p>
    <w:p>
      <w:r>
        <w:t>RS 0.916.026.81</w:t>
      </w:r>
    </w:p>
    <w:p>
      <w:r>
        <w:t>Loi sur l’agriculture 4459 Art. 173, al. 1, phrase introductive, let. a, let. cbis, gbis, gter, gquater, i, k, kbis et kter, et al. 3, let. a 1 Si l’acte n’est pas punissable plus sévèrement en vertu d’une autre disposition, est puni d’une amende de 40 000 francs au plus celui qui, intentionnellement: a. enfreint les dispositions reconnues ou édictées en vertu des art. 14, al. 1, let. a, b, c et e, et 15 concernant les désignations; cbis. ne se conforme pas aux exigences visées à l’art. 27a, al. 1, ou ne se soumet pas au régime d’autorisation institué en vertu de l’art. 27a, al. 2, ou aux me- sures ordonnées; gbis. ne respecte pas les conditions fixées en vertu de l’art. 146 concernant l’importation d’animaux d’élevage, de semence, d’ovules et d’embryons; gter. enfreint les dispositions édictées en vertu de l’art. 146a concernant l’éle- vage, l’importation et la mise en circulation d’animaux de rente génétique- ment modifiés; gquater. contrevient aux mesures de précaution ordonnées en vertu de l’art. 148a; i. n’observe pas les instructions d’utilisation visées à l’art. 159, al. 2, ou les prescriptions d’utilisation visées à l’art. 159a; k. produit, importe, stocke, transporte, met en circulation, offre ou vante sans homologation des moyens de production soumis à homologation en vertu de l’art. 160, administre aux animaux des antibiotiques et des substances simi- laires comme stimulateurs de performance ou contrevient à l’obligation d’en annoncer l’utilisation à des fins thérapeutiques prévue à l’art. 160, al. 8; kbis. produit, importe, stocke, transporte, met en circulation, offre ou vante des moyens de production sans être homologué ou enregistré par le service com- pétent; kter. enfreint les dispositions édictées en vertu de l’art. 161 concernant l’étique- tage et l’emballage des moyens de production; 3 Si l’acte n’est pas punissable plus sévèrement en vertu d’une autre disposition, est puni d’une amende de 5000 francs au plus celui qui, intentionnellement: a. abrogée Art. 179, al. 2, première phrase 2 La Confédération peut réduire les contributions ou refuser leur octroi à un canton qui n’exécute pas la loi ou l’exécute de manière incorrecte. … Art. 181, al. 1 et 1bis 1 Les organes d’exécution ordonnent les mesures de contrôle et les enquêtes néces- saires à l’application de la présente loi, de ses dispositions d’exécution ou des déci- sions qui en découlent.</w:t>
      </w:r>
    </w:p>
    <w:p>
      <w:r>
        <w:t>Loi sur l’agriculture 4460 1bis Le Conseil fédéral peut édicter des dispositions afin de garantir, dans l’exécution de la présente loi et d’autres lois concernant l’agriculture, une activité de contrôle homogène, commune et coordonnée ainsi que l’échange d’informations pertinentes entre les organes de contrôle compétents. Art. 182, al. 1 1 Le Conseil fédéral coordonne l’exécution de la loi du 9 octobre 1992 sur les den- rées alimentaires9, de la loi du 18 mars 2005 sur les douanes10 et de la présente loi; il peut exiger des renseignements auprès de l’Administration fédérale des contribu- tions. Art. 185, al. 5 et 6 5 La Confédération peut saisir les données au moyen d’un système en réseau auto- matisé et centralisé et les rendre accessibles en ligne aux organes d’exécution com- pétents et à d’autres personnes. 6 Elle peut traiter des données concernant des enquêtes et des sanctions administra- tives ainsi que des poursuites pénales et, au besoin, les rendre accessibles en ligne aux organes d’exécution compétents à des fins de contrôle et d’enquête. Art. 187b, al. 8 Abrogé Art. 187c Dispositions transitoires relatives à la modification du 22 juin 2007 1 Les vins des millésimes 2007 et antérieurs peuvent être élaborés et étiquetés selon l’ancien droit. Ils peuvent être remis aux consommateurs jusqu’à épuisement des stocks. 2 La transformation de la récolte de betteraves sucrières de 2008 est régie par l’ancien droit. Art. 188, al. 3 3 Les art. 40 à 42 sont applicables jusqu’au 31 décembre 2008.</w:t>
      </w:r>
    </w:p>
    <w:p>
      <w:r>
        <w:rPr>
          <w:b/>
        </w:rPr>
        <w:t>E. 9</w:t>
      </w:r>
    </w:p>
    <w:p>
      <w:r>
        <w:t>RS 817.0</w:t>
      </w:r>
    </w:p>
    <w:p>
      <w:r>
        <w:rPr>
          <w:b/>
        </w:rPr>
        <w:t>E. 10</w:t>
      </w:r>
    </w:p>
    <w:p>
      <w:r>
        <w:t>RS 631.0</w:t>
      </w:r>
    </w:p>
    <w:p>
      <w:r>
        <w:t>Loi sur l’agriculture 4461 II La loi du 22 juin 1979 sur l’aménagement du territoire11 est modifiée comme suit: Art. 18a Installations solaires Dans les zones à bâtir et les zones agricoles, les installations solaires soigneusement intégrées aux toits et aux façades sont autorisées dès lors qu’elles ne portent atteinte à aucun bien culturel ni à aucun site naturel d’importance cantonale ou nationale. III 1 La présente loi est sujette au référendum. 2 Le Conseil fédéral fixe la date de l’entrée en vigueur. Conseil des Etats, 22 juin 2007 Conseil national, 22 juin 2007 Le président: Peter Bieri Le secrétaire: Christoph Lanz La présidente: Christine Egerszegi-Obrist Le secrétaire: Ueli Anliker Date de publication: 3 juillet 200712 Délai référendaire: 11 octobre 2007</w:t>
      </w:r>
    </w:p>
    <w:p>
      <w:r>
        <w:rPr>
          <w:b/>
        </w:rPr>
        <w:t>E. 11</w:t>
      </w:r>
    </w:p>
    <w:p>
      <w:r>
        <w:t>RS 700</w:t>
      </w:r>
    </w:p>
    <w:p>
      <w:r>
        <w:rPr>
          <w:b/>
        </w:rPr>
        <w:t>E. 12</w:t>
      </w:r>
    </w:p>
    <w:p>
      <w:r>
        <w:t>FF 2007 4449</w:t>
      </w:r>
    </w:p>
    <w:p>
      <w:r>
        <w:t>Loi sur l’agriculture 4462</w:t>
      </w:r>
    </w:p>
    <w:p>
      <w:r>
        <w:t>Schweizerisches Bundesarchiv, Digitale Amtsdruckschriften Archives fédérales suisses, Publications officielles numérisées Archivio federale svizzero, Pubblicazioni ufficiali digitali Loi fédérale sur l'agriculture (Loi sur l'agriculture, LAgr) (Projet) In Bundesblatt Dans Feuille fédérale In Foglio federale Jahr 2007 Année Anno Band 1 Volume Volume Heft 27 Cahier Numero Geschäftsnummer --- Numéro d'affaire Numero dell'oggetto Datum 03.07.2007 Date Data Seite 4449-4462 Page Pagina Ref. No 10 140 697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