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2006-0306 1579 vom 12. Januar 2006</w:t>
      </w:r>
    </w:p>
    <w:p>
      <w:r>
        <w:t>Bundesverwaltung, 2006-01-12, DE</w:t>
      </w:r>
    </w:p>
    <w:p>
      <w:r>
        <w:rPr>
          <w:b/>
        </w:rPr>
        <w:t xml:space="preserve">Quelle: </w:t>
      </w:r>
      <w:r>
        <w:t>https://mcp.opencaselaw.ch/entscheid/ch_vb_2006-0306_1579_</w:t>
      </w:r>
    </w:p>
    <w:p>
      <w:r>
        <w:t>FR: CH_VB 2006-0306 1579 du 12 janvier 2006</w:t>
      </w:r>
    </w:p>
    <w:p>
      <w:r>
        <w:t>IT: CH_VB 2006-0306 1579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</w:t>
      </w:r>
    </w:p>
    <w:p>
      <w:r>
        <w:rPr>
          <w:b/>
        </w:rPr>
        <w:t>E. 2</w:t>
      </w:r>
    </w:p>
    <w:p>
      <w:r>
        <w:t>Il n’est pas perçu de frais de justice Un exemplaire de l’arrêt est à votre disposition à la chancellerie du Tribunal fédéral des assurances.</w:t>
      </w:r>
    </w:p>
    <w:p>
      <w:r>
        <w:rPr>
          <w:b/>
        </w:rPr>
        <w:t>E. 7</w:t>
      </w:r>
    </w:p>
    <w:p>
      <w:r>
        <w:t>février 2006 Chancellerie fédérale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2006 Année Anno Band 1 Volume Volume Heft 05 Cahier Numero Geschäftsnummer --- Numéro d'affaire Numero dell'oggetto Datum 07.02.2006 Date Data Seite 1579-1580 Page Pagina Ref. No</w:t>
      </w:r>
    </w:p>
    <w:p>
      <w:r>
        <w:rPr>
          <w:b/>
        </w:rPr>
        <w:t>E. 10</w:t>
      </w:r>
    </w:p>
    <w:p>
      <w:r>
        <w:t>139 313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