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2006-0004 825 vom 12. Januar 2006</w:t>
      </w:r>
    </w:p>
    <w:p>
      <w:r>
        <w:t>Bundesverwaltung, 2006-01-12, DE</w:t>
      </w:r>
    </w:p>
    <w:p>
      <w:r>
        <w:rPr>
          <w:b/>
        </w:rPr>
        <w:t xml:space="preserve">Quelle: </w:t>
      </w:r>
      <w:r>
        <w:t>https://mcp.opencaselaw.ch/entscheid/ch_vb_2006-0004_825_</w:t>
      </w:r>
    </w:p>
    <w:p>
      <w:r>
        <w:t>FR: CH_VB 2006-0004 825 du 12 janvier 2006</w:t>
      </w:r>
    </w:p>
    <w:p>
      <w:r>
        <w:t>IT: CH_VB 2006-0004 825 del 12 gennaio 2006</w:t>
      </w:r>
    </w:p>
    <w:p>
      <w:pPr>
        <w:pStyle w:val="Heading2"/>
      </w:pPr>
      <w:r>
        <w:t>Erwägungen</w:t>
      </w:r>
    </w:p>
    <w:p>
      <w:r>
        <w:rPr>
          <w:b/>
        </w:rPr>
        <w:t>E. 1</w:t>
      </w:r>
    </w:p>
    <w:p>
      <w:r>
        <w:t>Cf. Arrêté du Conseil fédéral du 10 novembre 1998 étendant le champ d’application de la convention nationale pour le secteur principal de la construction en Suisse, FF 1998 4945 à 4947</w:t>
      </w:r>
    </w:p>
    <w:p>
      <w:r>
        <w:rPr>
          <w:b/>
        </w:rPr>
        <w:t>E. 2</w:t>
      </w:r>
    </w:p>
    <w:p>
      <w:r>
        <w:t>Des tirés à part de l’extension peuvent être obtenus auprès de l’OFCL, Vente des publications fédérales, 3003 Berne.</w:t>
      </w:r>
    </w:p>
    <w:p>
      <w:r>
        <w:t>Convention nationale pour le secteur principal de la construction en Suisse. ACF 826 Art. 53 Abrogé Art. 61 à 63 Abrogés Annexe 2 de la CN Abrogée Annexe 14 de la CN Abrogée Annexe 9</w:t>
      </w:r>
    </w:p>
    <w:p>
      <w:r>
        <w:t>Annexe 12</w:t>
      </w:r>
    </w:p>
    <w:p>
      <w:r>
        <w:t>Annexe 13</w:t>
      </w:r>
    </w:p>
    <w:p>
      <w:r>
        <w:t>Annexe 17</w:t>
      </w:r>
    </w:p>
    <w:p>
      <w:r>
        <w:t>II Les employeurs qui ont accordé à leurs travailleurs/travailleuses depuis le 1er janvier 2006 une augmentation de salaire, peuvent en tenir compte dans l’augmentation de salaire selon la lettre B de l’accord du 26 mai 2005. III Le présent arrêté entre en vigueur le 1er février 2006 et a effet jusqu’au 30 septem- bre 2007. 12 janvier 2006 Au nom du Conseil fédéral suisse:</w:t>
      </w:r>
    </w:p>
    <w:p>
      <w:r>
        <w:t>Le président de la Confédération, Moritz Leuenberger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&lt;bd&gt; étendant le champ d'application de la convention nationale pour le secteur principal de la construction en Suisse In Bundesblatt Dans Feuille fédérale In Foglio federale Jahr 2006 Année Anno Band 1 Volume Volume Heft</w:t>
      </w:r>
    </w:p>
    <w:p>
      <w:r>
        <w:rPr>
          <w:b/>
        </w:rPr>
        <w:t>E. 03</w:t>
      </w:r>
    </w:p>
    <w:p>
      <w:r>
        <w:t>Cahier Numero Geschäftsnummer --- Numéro d'affaire Numero dell'oggetto Datum 24.01.2006 Date Data Seite 825-826 Page Pagina Ref. No 10 139 264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