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2005-3465 429 vom 18. Mai 2005</w:t>
      </w:r>
    </w:p>
    <w:p>
      <w:r>
        <w:t>Bundesverwaltung, 2005-05-18, DE</w:t>
      </w:r>
    </w:p>
    <w:p>
      <w:r>
        <w:rPr>
          <w:b/>
        </w:rPr>
        <w:t xml:space="preserve">Quelle: </w:t>
      </w:r>
      <w:r>
        <w:t>https://mcp.opencaselaw.ch/entscheid/ch_vb_2005-3465_429_</w:t>
      </w:r>
    </w:p>
    <w:p>
      <w:r>
        <w:t>FR: CH_VB 2005-3465 429 du 18 mai 2005</w:t>
      </w:r>
    </w:p>
    <w:p>
      <w:r>
        <w:t>IT: CH_VB 2005-3465 429 del 18 maggio 2005</w:t>
      </w:r>
    </w:p>
    <w:p>
      <w:pPr>
        <w:pStyle w:val="Heading2"/>
      </w:pPr>
      <w:r>
        <w:t>Erwägungen</w:t>
      </w:r>
    </w:p>
    <w:p>
      <w:r>
        <w:rPr>
          <w:b/>
        </w:rPr>
        <w:t>E. 1</w:t>
      </w:r>
    </w:p>
    <w:p>
      <w:r>
        <w:t>Caractéristiques du produit (pour tous les produits mentionnés) Substance(s) active(s): Folpet 80.0 % Formulation: WG</w:t>
      </w:r>
    </w:p>
    <w:p>
      <w:r>
        <w:rPr>
          <w:b/>
        </w:rPr>
        <w:t>E. 2</w:t>
      </w:r>
    </w:p>
    <w:p>
      <w:r>
        <w:t>Produits commerciaux Folmak 80 WDG Numéro d’homologation suisse: I-3750 pays d’origine: Italie numéro d’homologation étranger: 11501 distributeur: MAKHTESHIM AGAN ITALIA S.R.L., Via G. Verdi 12, 24121 Bergamo Foltan MGD Numéro d’homologation suisse: I-3751 pays d’origine: Italie numéro d’homologation étranger: 9629 distributeur: Scam, Via Bellaria 164, I-41010 S.Maria di Mugano Applications autorisées: Domaine d’application Maladie/effets Mode d’application (*) Arboriculture</w:t>
      </w:r>
    </w:p>
    <w:p>
      <w:r>
        <w:t>fruits à noyaux cylindrosporiose du cerisier, maladie criblée, pourriture amère des cerises concentration: 0.125 % délai d’attente: 3 semaines</w:t>
      </w:r>
    </w:p>
    <w:p>
      <w:r>
        <w:t>fruits à pépins effet partiel: pourriture de la mouche des pommes (Botrytis cinerea) concentration: 0.1 % application: 1–2 applications pendant la floraison</w:t>
      </w:r>
    </w:p>
    <w:p>
      <w:r>
        <w:t>1 RS 916.161</w:t>
      </w:r>
    </w:p>
    <w:p>
      <w:r>
        <w:t>430 Domaine d’application Maladie/effets Mode d’application (*) fruits à pépins pourriture lenticellaire (pommier), tavelure des arbres fruitiers, tavelure tardive des pommes concentration: 0.125 % application: avant la floraison 1</w:t>
      </w:r>
    </w:p>
    <w:p>
      <w:r>
        <w:t>concentration: 0.1 % délai d’attente: 3 semaines application: après la floraison 1 Viticulture</w:t>
      </w:r>
    </w:p>
    <w:p>
      <w:r>
        <w:t>toutes les cultures coître de la vigne concentration: 0.15 %</w:t>
      </w:r>
    </w:p>
    <w:p>
      <w:r>
        <w:rPr>
          <w:b/>
        </w:rPr>
        <w:t>E. 5</w:t>
      </w:r>
    </w:p>
    <w:p>
      <w:r>
        <w:t>= Immédiatement après une averse de grêle, jusqu’à mi-août au plus tard.</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431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429-431 Page Pagina Ref. No</w:t>
      </w:r>
    </w:p>
    <w:p>
      <w:r>
        <w:rPr>
          <w:b/>
        </w:rPr>
        <w:t>E. 10</w:t>
      </w:r>
    </w:p>
    <w:p>
      <w:r>
        <w:t>139 228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