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2005-3380 6679 vom 20. Dezember 2005</w:t>
      </w:r>
    </w:p>
    <w:p>
      <w:r>
        <w:t>Bundesverwaltung, 2005-12-20, DE</w:t>
      </w:r>
    </w:p>
    <w:p>
      <w:r>
        <w:rPr>
          <w:b/>
        </w:rPr>
        <w:t xml:space="preserve">Quelle: </w:t>
      </w:r>
      <w:r>
        <w:t>https://mcp.opencaselaw.ch/entscheid/ch_vb_2005-3380_6679_</w:t>
      </w:r>
    </w:p>
    <w:p>
      <w:r>
        <w:t>FR: CH_VB 2005-3380 6679 du 20 décembre 2005</w:t>
      </w:r>
    </w:p>
    <w:p>
      <w:r>
        <w:t>IT: CH_VB 2005-3380 6679 del 20 dicembre 2005</w:t>
      </w:r>
    </w:p>
    <w:p>
      <w:pPr>
        <w:pStyle w:val="Heading2"/>
      </w:pPr>
      <w:r>
        <w:t>Volltext</w:t>
      </w:r>
    </w:p>
    <w:p>
      <w:r>
        <w:t>2005-3380 6679 Exécution de la loi fédérale sur la formation professionnelle L’Association des conservateurs suisses de monuments historiques (ACMH), Asso- ciation suisse des entrepreneurs plâtriers-peintres, Wallisellen (ASEP), Groupe de travail protection du patrimoine (GTP), Conseil international des monuments et des sites, Section nationale suisse, (ICOMOS), «Baumeister Kurszentrum (KBZ) 8307 Wallisellen», Centre national d’information pour la conservation des biens culturels (NIKE) et l’Association suisse de conservation et restauration (SKR/SCR) ont déposé un projet de règlement concernant l’examen professionnel de artisan en conservation des monuments historiques/artisane en conservation des monuments historiques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20 décembre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50 Cahier Numero Geschäftsnummer --- Numéro d'affaire Numero dell'oggetto Datum 20.12.2005 Date Data Seite 6679-6679 Page Pagina Ref. No 10 139 152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