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2005-2914 1823 vom 3. Oktober 2003</w:t>
      </w:r>
    </w:p>
    <w:p>
      <w:r>
        <w:t>Bundesverwaltung, 2003-10-03, DE</w:t>
      </w:r>
    </w:p>
    <w:p>
      <w:r>
        <w:rPr>
          <w:b/>
        </w:rPr>
        <w:t xml:space="preserve">Quelle: </w:t>
      </w:r>
      <w:r>
        <w:t>https://mcp.opencaselaw.ch/entscheid/ch_vb_2005-2914_1823_</w:t>
      </w:r>
    </w:p>
    <w:p>
      <w:r>
        <w:t>FR: CH_VB 2005-2914 1823 du 3 octobre 2003</w:t>
      </w:r>
    </w:p>
    <w:p>
      <w:r>
        <w:t>IT: CH_VB 2005-2914 1823 del 3 ottobre 2003</w:t>
      </w:r>
    </w:p>
    <w:p>
      <w:pPr>
        <w:pStyle w:val="Heading2"/>
      </w:pPr>
      <w:r>
        <w:t>Erwägungen</w:t>
      </w:r>
    </w:p>
    <w:p>
      <w:r>
        <w:rPr>
          <w:b/>
        </w:rPr>
        <w:t>E. 1</w:t>
      </w:r>
    </w:p>
    <w:p>
      <w:r>
        <w:t>Lors de l’examen du programme de la législature, le conseil se prononce unique- ment sur les propositions déposées par la majorité ou par une minorité de la com- mission chargée de l’examen préalable.</w:t>
      </w:r>
    </w:p>
    <w:p>
      <w:r>
        <w:rPr>
          <w:b/>
        </w:rPr>
        <w:t>E. 2</w:t>
      </w:r>
    </w:p>
    <w:p>
      <w:r>
        <w:t>Les autres propositions doivent être déposées devant la commission 24 heures au plus tard avant le début de la discussion par article sur le projet d’acte par la com- mission chargée de l’examen préalable.</w:t>
      </w:r>
    </w:p>
    <w:p>
      <w:r>
        <w:rPr>
          <w:b/>
        </w:rPr>
        <w:t>E. 3</w:t>
      </w:r>
    </w:p>
    <w:p>
      <w:r>
        <w:t>Le délai de dépôt des propositions est communiqué aux groupes et à tous les dépu- tés trois semaines au plus tard avant son échéance.</w:t>
      </w:r>
    </w:p>
    <w:p>
      <w:r>
        <w:rPr>
          <w:b/>
        </w:rPr>
        <w:t>E. 4</w:t>
      </w:r>
    </w:p>
    <w:p>
      <w:r>
        <w:t>RO …; FF 2006 1819</w:t>
      </w:r>
    </w:p>
    <w:p>
      <w:r>
        <w:rPr>
          <w:b/>
        </w:rPr>
        <w:t>E. 5</w:t>
      </w:r>
    </w:p>
    <w:p>
      <w:r>
        <w:t>RS 171.10</w:t>
      </w:r>
    </w:p>
    <w:p>
      <w:r>
        <w:t>Schweizerisches Bundesarchiv, Digitale Amtsdruckschriften Archives fédérales suisses, Publications officielles numérisées Archivio federale svizzero, Pubblicazioni ufficiali digitali Règlement du Conseil national (RCN) (Programme de la législature) (Projet) In Bundesblatt Dans Feuille fédérale In Foglio federale Jahr 2006 Année Anno Band 1 Volume Volume Heft</w:t>
      </w:r>
    </w:p>
    <w:p>
      <w:r>
        <w:rPr>
          <w:b/>
        </w:rPr>
        <w:t>E. 06</w:t>
      </w:r>
    </w:p>
    <w:p>
      <w:r>
        <w:t>Cahier Numero Geschäftsnummer --- Numéro d'affaire Numero dell'oggetto Datum 14.02.2006 Date Data Seite 1823-1824 Page Pagina Ref. No</w:t>
      </w:r>
    </w:p>
    <w:p>
      <w:r>
        <w:rPr>
          <w:b/>
        </w:rPr>
        <w:t>E. 10</w:t>
      </w:r>
    </w:p>
    <w:p>
      <w:r>
        <w:t>139 332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