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2005-2825 6205 vom 4. August 2005</w:t>
      </w:r>
    </w:p>
    <w:p>
      <w:r>
        <w:t>Bundesverwaltung, 2005-08-04, DE</w:t>
      </w:r>
    </w:p>
    <w:p>
      <w:r>
        <w:rPr>
          <w:b/>
        </w:rPr>
        <w:t xml:space="preserve">Quelle: </w:t>
      </w:r>
      <w:r>
        <w:t>https://mcp.opencaselaw.ch/entscheid/ch_vb_2005-2825_6205_</w:t>
      </w:r>
    </w:p>
    <w:p>
      <w:r>
        <w:t>FR: CH_VB 2005-2825 6205 du 4 août 2005</w:t>
      </w:r>
    </w:p>
    <w:p>
      <w:r>
        <w:t>IT: CH_VB 2005-2825 6205 del 4 agosto 2005</w:t>
      </w:r>
    </w:p>
    <w:p>
      <w:pPr>
        <w:pStyle w:val="Heading2"/>
      </w:pPr>
      <w:r>
        <w:t>Volltext</w:t>
      </w:r>
    </w:p>
    <w:p>
      <w:r>
        <w:t>2005-2825 6205 Communication (art. 11 PCF en relation avec les art. 40 et 135 OJ) A Philippe Nizzola-Ceranini et à Dominique Nizzola-Ceranini Statuant sur le recours de droit administratif de Philippe Nizzola-Ceranini, parti sans laisser d’adresse, du 27 octobre 2004, le Tribunal fédéral des assurances, par arrêt du 4 août 2005, a prononcé: 1. Les causes K 150/04 et K 151/04 sont jointes. 2. Les recours sont rejetés. 3. Les frais de justice, d’un montant total de 2800 francs, sont mis à la charge des recourants et sont compensés avec l’avance de frais, d’un même mon- tant, qu’ils ont effectuée. Un exemplaire de l’arrêt ainsi que les annexes sont à votre disposition à la chancel- lerie du Tribunal fédéral des assurances. 20 septembre 2005 Tribunal fédéral des assurances p.o. du Président:</w:t>
      </w:r>
    </w:p>
    <w:p>
      <w:r>
        <w:t>Le directeur de la Chancellerie, Studer K 150/04 et K 151/04</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2005 Année Anno Band 1 Volume Volume Heft 44 Cahier Numero Geschäftsnummer --- Numéro d'affaire Numero dell'oggetto Datum 08.11.2005 Date Data Seite 6205-6205 Page Pagina Ref. No 10 139 043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