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2005-2640 6157 vom 12. Oktober 2005</w:t>
      </w:r>
    </w:p>
    <w:p>
      <w:r>
        <w:t>Bundesverwaltung, 2005-10-12, DE</w:t>
      </w:r>
    </w:p>
    <w:p>
      <w:r>
        <w:rPr>
          <w:b/>
        </w:rPr>
        <w:t xml:space="preserve">Quelle: </w:t>
      </w:r>
      <w:r>
        <w:t>https://mcp.opencaselaw.ch/entscheid/ch_vb_2005-2640_6157_</w:t>
      </w:r>
    </w:p>
    <w:p>
      <w:r>
        <w:t>FR: CH_VB 2005-2640 6157 du 12 octobre 2005</w:t>
      </w:r>
    </w:p>
    <w:p>
      <w:r>
        <w:t>IT: CH_VB 2005-2640 6157 del 12 ottobre 2005</w:t>
      </w:r>
    </w:p>
    <w:p>
      <w:pPr>
        <w:pStyle w:val="Heading2"/>
      </w:pPr>
      <w:r>
        <w:t>Erwägungen</w:t>
      </w:r>
    </w:p>
    <w:p>
      <w:r>
        <w:rPr>
          <w:b/>
        </w:rPr>
        <w:t>E. 1</w:t>
      </w:r>
    </w:p>
    <w:p>
      <w:r>
        <w:t>FF 2004 2737 à 2739</w:t>
      </w:r>
    </w:p>
    <w:p>
      <w:r>
        <w:rPr>
          <w:b/>
        </w:rPr>
        <w:t>E. 2</w:t>
      </w:r>
    </w:p>
    <w:p>
      <w:r>
        <w:t>Sur l’ensemble du territoire des cantons énumérés ci-après, l’extension s’applique à toutes entreprises et aux secteurs d’entreprises qui exécutent, les travaux figurant à l’al. 1: a. Fribourg: – Menuiserie, ébénisterie et charpenterie – Fabrication de meubles</w:t>
      </w:r>
    </w:p>
    <w:p>
      <w:r>
        <w:t>Convention Collective pour la retraite anticipée dans le second œuvre romand (CCRA). ACF 6159 – Plâtrerie et peinture – Vitrerie/techniverrerie b. Jura et Jura bernois (district de Courtelary, La Neuveville et Moutier): – Menuiserie, ébénisterie et charpenterie – Vitrerie/techniverrerie c. Neuchâtel: – Menuiserie, ébénisterie et charpenterie – Plâtrerie et peinture – Vitrerie/techniverrerie d. Valais: – Menuiserie, ébénisterie et charpenterie – Plâtrerie et peinture – Vitrerie/techniverrerie e. Vaud: – Menuiserie, ébénisterie et charpenterie – Plâtrerie et peinture – Vitrerie/techniverrerie – Carrelage – Autres travaux: miroiterie; asphaltage, étanchéité et travaux spéciaux de résine; revêtement de sols f. Genève: – Menuiserie, ébénisterie et charpenterie – Plâtrerie et peinture – Vitrerie/techniverrerie – Couverture – Autres travaux: miroiterie; étanchéité; décoration d’intérieur et courte- pointière; encadrement; réparation de stores; revêtements d’intérieurs; marbrerie g. Bâle-Campagne – Carrelage h. Bâle-Ville: – Plâtrerie et peinture – Vitrerie/techniverrerie – Carrelage – Couverture – Autres travaux: miroiterie; fabrication et montage de toitures en matière plastique; sculpture et travaux sur pierre naturelle; parqueterie (pose de parquets); pose de sols spéciaux et en linoléum</w:t>
      </w:r>
    </w:p>
    <w:p>
      <w:r>
        <w:t>Convention Collective pour la retraite anticipée dans le second œuvre romand (CCRA). ACF 6160 i. Tessin: – Carrelage – Autres travaux: plâtrerie; fabrication et montage de toitures en matière plastique; parqueterie (pose de parquets)</w:t>
      </w:r>
    </w:p>
    <w:p>
      <w:r>
        <w:rPr>
          <w:b/>
        </w:rPr>
        <w:t>E. 3</w:t>
      </w:r>
    </w:p>
    <w:p>
      <w:r>
        <w:t>FF 2004 2737</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collective de travail romande du second oeuvre In Bundesblatt Dans Feuille fédérale In Foglio federale Jahr 2005 Année Anno Band 1 Volume Volume Heft 43 Cahier Numero Geschäftsnummer --- Numéro d'affaire Numero dell'oggetto Datum 01.11.2005 Date Data Seite 6157-6160 Page Pagina Ref. No 10 139 024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