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2005-2637 5449 vom 12. September 2005</w:t>
      </w:r>
    </w:p>
    <w:p>
      <w:r>
        <w:t>Bundesverwaltung, 2005-09-12, DE</w:t>
      </w:r>
    </w:p>
    <w:p>
      <w:r>
        <w:rPr>
          <w:b/>
        </w:rPr>
        <w:t xml:space="preserve">Quelle: </w:t>
      </w:r>
      <w:r>
        <w:t>https://mcp.opencaselaw.ch/entscheid/ch_vb_2005-2637_5449_</w:t>
      </w:r>
    </w:p>
    <w:p>
      <w:r>
        <w:t>FR: CH_VB 2005-2637 5449 du 12 septembre 2005</w:t>
      </w:r>
    </w:p>
    <w:p>
      <w:r>
        <w:t>IT: CH_VB 2005-2637 5449 del 12 settembre 2005</w:t>
      </w:r>
    </w:p>
    <w:p>
      <w:pPr>
        <w:pStyle w:val="Heading2"/>
      </w:pPr>
      <w:r>
        <w:t>Volltext</w:t>
      </w:r>
    </w:p>
    <w:p>
      <w:r>
        <w:t>2005-2637 5449 Publications des tribunaux</w:t>
      </w:r>
    </w:p>
    <w:p>
      <w:r>
        <w:t>Communication (2A.339/2005) (art. 11 PCF en relation avec l’art. 40 OJ) A Monsieur Helmut Pany Böhler, Hutweidenstrasse 21-510-6, AT-1190 Vienne: Statuant sur votre recours de droit administratif du 20 mai 2005 dirigé contre le prononcé du 19 avril 2005 du Département fédéral de justice et police, la IIe Cour de droit public du Tribunal fédéral a, par arrêt du 12 septembre 2005, prononcé: 1. Le recours est irrecevable. 2. Un émolument judiciaire de 500 francs est mis à la charge du recourant. 11 octobre 2005 Le président de la IIe Cour de droit public du Tribunal fédéral suisse</w:t>
      </w:r>
    </w:p>
    <w:p>
      <w:r>
        <w:t>Merkli</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40 Cahier Numero Geschäftsnummer --- Numéro d'affaire Numero dell'oggetto Datum 11.10.2005 Date Data Seite 5449-5449 Page Pagina Ref. No 10 138 976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