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2005-2450 5405 vom 4. Oktober 2005</w:t>
      </w:r>
    </w:p>
    <w:p>
      <w:r>
        <w:t>Bundesverwaltung, 2005-10-04, DE</w:t>
      </w:r>
    </w:p>
    <w:p>
      <w:r>
        <w:rPr>
          <w:b/>
        </w:rPr>
        <w:t xml:space="preserve">Quelle: </w:t>
      </w:r>
      <w:r>
        <w:t>https://mcp.opencaselaw.ch/entscheid/ch_vb_2005-2450_5405_</w:t>
      </w:r>
    </w:p>
    <w:p>
      <w:r>
        <w:t>FR: CH_VB 2005-2450 5405 du 4 octobre 2005</w:t>
      </w:r>
    </w:p>
    <w:p>
      <w:r>
        <w:t>IT: CH_VB 2005-2450 5405 del 4 ottobre 2005</w:t>
      </w:r>
    </w:p>
    <w:p>
      <w:pPr>
        <w:pStyle w:val="Heading2"/>
      </w:pPr>
      <w:r>
        <w:t>Volltext</w:t>
      </w:r>
    </w:p>
    <w:p>
      <w:r>
        <w:t>2005-2450 5405 Allocation de subsides fédéraux pour des projets forestiers Décisions de la Direction des forêts – Commune de Nax VS, Ouvrage et installations de protection, Grands Pras N° de projet 431.1-VS-3217/0001 – Communes de Bussigny-près-Lausanne, Chavannes-près-Renens, Cheseaux- sur-Lausanne, Crissier, Ecublens, Lausanne, Mex, Penthaz, Renens, Vufflens-la-Ville, Villars-Sainte-Croix VD, Soins minimaux temporaires, Sylviculture B, triage 1, 16e arrdt – 2e étape</w:t>
      </w:r>
    </w:p>
    <w:p>
      <w:r>
        <w:t>N° de projet 411.2-VD-5001/0006 – Commune d’Ayer VS, Ouvrage et installations de protection, Mottec- Pralong</w:t>
      </w:r>
    </w:p>
    <w:p>
      <w:r>
        <w:t>N° de projet 431.1-VS-3316/0001 Voies de recours Cette décision peut faire l’objet d’un recours auprès de la Commission de recours en matière d’infrastructures et d’environnement (CRINEN), Schwarztorstrasse 59,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des forêts, Papiermühlestrasse 172, 3003 Berne, dans le délai imparti pour les recours et après s’être annoncées par téléphone (télé- phone 031 324 78 53/324 77 78). 4 octobre 2005 Office fédéral de l’environnement, des forêts et du paysage</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2005 Année Anno Band 1 Volume Volume Heft 39 Cahier Numero Geschäftsnummer --- Numéro d'affaire Numero dell'oggetto Datum 04.10.2005 Date Data Seite 5405-5405 Page Pagina Ref. No 10 138 954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