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2005-1731 4187 vom 19. Juli 2005</w:t>
      </w:r>
    </w:p>
    <w:p>
      <w:r>
        <w:t>Bundesverwaltung, 2005-07-19, DE</w:t>
      </w:r>
    </w:p>
    <w:p>
      <w:r>
        <w:rPr>
          <w:b/>
        </w:rPr>
        <w:t xml:space="preserve">Quelle: </w:t>
      </w:r>
      <w:r>
        <w:t>https://mcp.opencaselaw.ch/entscheid/ch_vb_2005-1731_4187_</w:t>
      </w:r>
    </w:p>
    <w:p>
      <w:r>
        <w:t>FR: CH_VB 2005-1731 4187 du 19 juillet 2005</w:t>
      </w:r>
    </w:p>
    <w:p>
      <w:r>
        <w:t>IT: CH_VB 2005-1731 4187 del 19 luglio 2005</w:t>
      </w:r>
    </w:p>
    <w:p>
      <w:pPr>
        <w:pStyle w:val="Heading2"/>
      </w:pPr>
      <w:r>
        <w:t>Volltext</w:t>
      </w:r>
    </w:p>
    <w:p>
      <w:r>
        <w:t>2005-1731 4187 Exécution de la loi fédérale sur la formation professionnelle L’Association suisse des entreprises électriques suisses (AES) et Association des entreprises d’installation de lignes aériennes et de câbles (AELC) ont déposé un projet de règlement concernant l’examen professionnel de spécialiste de réseau option réalisation / spécialiste de réseau option projets et exploitation,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19 juillet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28 Cahier Numero Geschäftsnummer --- Numéro d'affaire Numero dell'oggetto Datum 19.07.2005 Date Data Seite 4187-4187 Page Pagina Ref. No 10 138 778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