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2005-1713 5581 vom 18. Oktober 2005</w:t>
      </w:r>
    </w:p>
    <w:p>
      <w:r>
        <w:t>Bundesverwaltung, 2005-10-18, DE</w:t>
      </w:r>
    </w:p>
    <w:p>
      <w:r>
        <w:rPr>
          <w:b/>
        </w:rPr>
        <w:t xml:space="preserve">Quelle: </w:t>
      </w:r>
      <w:r>
        <w:t>https://mcp.opencaselaw.ch/entscheid/ch_vb_2005-1713_5581_</w:t>
      </w:r>
    </w:p>
    <w:p>
      <w:r>
        <w:t>FR: CH_VB 2005-1713 5581 du 18 octobre 2005</w:t>
      </w:r>
    </w:p>
    <w:p>
      <w:r>
        <w:t>IT: CH_VB 2005-1713 5581 del 18 ottobre 2005</w:t>
      </w:r>
    </w:p>
    <w:p>
      <w:pPr>
        <w:pStyle w:val="Heading2"/>
      </w:pPr>
      <w:r>
        <w:t>Erwägungen</w:t>
      </w:r>
    </w:p>
    <w:p>
      <w:r>
        <w:rPr>
          <w:b/>
        </w:rPr>
        <w:t>E. 1</w:t>
      </w:r>
    </w:p>
    <w:p>
      <w:r>
        <w:t>Toute modification substantielle d’un contrat d’affiliation ou d’un contrat d’assu- rance couvrant la prévoyance professionnelle par l’institution de prévoyance ou par la compagnie d’assurance doit être annoncée par écrit au plus tard 4 mois avant que la modification ne soit effective. Le contrat d’affiliation ou le contrat de prévoyance peuvent être résiliés dans un délai de 4 mois à compter de la date de l’annonce écrite de la modification, sous réserve de l’art. 53e, al. 4bis.</w:t>
      </w:r>
    </w:p>
    <w:p>
      <w:r>
        <w:rPr>
          <w:b/>
        </w:rPr>
        <w:t>E. 2</w:t>
      </w:r>
    </w:p>
    <w:p>
      <w:r>
        <w:t>FF 2005 5571</w:t>
      </w:r>
    </w:p>
    <w:p>
      <w:r>
        <w:rPr>
          <w:b/>
        </w:rPr>
        <w:t>E. 3</w:t>
      </w:r>
    </w:p>
    <w:p>
      <w:r>
        <w:t>FF 2005 5583</w:t>
      </w:r>
    </w:p>
    <w:p>
      <w:r>
        <w:rPr>
          <w:b/>
        </w:rPr>
        <w:t>E. 4</w:t>
      </w:r>
    </w:p>
    <w:p>
      <w:r>
        <w:t>Cette disposition vaut pour tous les contrats d’affiliation et contrats d’assurance tant pour la prévoyance professionnelle selon les dispositions minimales de la pré- sente loi que dans le domaine de la prévoyance professionnelle allant au-delà des prestations minimales légales. Art. 60, al. 6 (nouveau)</w:t>
      </w:r>
    </w:p>
    <w:p>
      <w:r>
        <w:rPr>
          <w:b/>
        </w:rPr>
        <w:t>E. 6</w:t>
      </w:r>
    </w:p>
    <w:p>
      <w:r>
        <w:t>L’institution supplétive n’a pas l’obligation de reprendre les engagements liés aux rentes en cours. II Disposition transitoire de la modification du … Résiliation de contrats L’art. 53f s’applique également aux contrats d’affiliation et aux contrats d’assurance couvrant la prévoyance professionnelle qui étaient déjà en cours lors de l’entrée en vigueur de cet article. III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la prévoyance professionnelle vieillesse, survivants et invalidité (Projet) In Bundesblatt Dans Feuille fédérale In Foglio federale Jahr 2005 Année Anno Band 1 Volume Volume Heft 41 Cahier Numero Geschäftsnummer --- Numéro d'affaire Numero dell'oggetto Datum 18.10.2005 Date Data Seite 5581-5582 Page Pagina Ref. No</w:t>
      </w:r>
    </w:p>
    <w:p>
      <w:r>
        <w:rPr>
          <w:b/>
        </w:rPr>
        <w:t>E. 10</w:t>
      </w:r>
    </w:p>
    <w:p>
      <w:r>
        <w:t>138 987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