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2005-1521 3755 vom 21. Juni 2005</w:t>
      </w:r>
    </w:p>
    <w:p>
      <w:r>
        <w:t>Bundesverwaltung, 2005-06-21, DE</w:t>
      </w:r>
    </w:p>
    <w:p>
      <w:r>
        <w:rPr>
          <w:b/>
        </w:rPr>
        <w:t xml:space="preserve">Quelle: </w:t>
      </w:r>
      <w:r>
        <w:t>https://mcp.opencaselaw.ch/entscheid/ch_vb_2005-1521_3755_</w:t>
      </w:r>
    </w:p>
    <w:p>
      <w:r>
        <w:t>FR: CH_VB 2005-1521 3755 du 21 juin 2005</w:t>
      </w:r>
    </w:p>
    <w:p>
      <w:r>
        <w:t>IT: CH_VB 2005-1521 3755 del 21 giugno 2005</w:t>
      </w:r>
    </w:p>
    <w:p>
      <w:pPr>
        <w:pStyle w:val="Heading2"/>
      </w:pPr>
      <w:r>
        <w:t>Volltext</w:t>
      </w:r>
    </w:p>
    <w:p>
      <w:r>
        <w:t>2005-1521 3755 Exécution de la loi fédérale du 15 décembre 1961 concernant la protection des noms et emblèmes de l’Organisation des Nations Unies et d’autres organisations intergouvernementales A partir du 21 juin 2005, l’emblème de la «Convention concernant la protection du patrimoine mondial, culturel et naturel», qui figure ci-après, est protégé conformé- ment à la loi susmentionnée (RS 232.23): a. l’emblème</w:t>
      </w:r>
    </w:p>
    <w:p>
      <w:r>
        <w:t>Remarque: L’emblème peut également être entouré par le terme «patrimoine mondial» en une ou plusieurs langues. 21 juin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24 Cahier Numero Geschäftsnummer --- Numéro d'affaire Numero dell'oggetto Datum 21.06.2005 Date Data Seite 3755-3755 Page Pagina Ref. No 10 138 695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