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2005-0941 2605 vom 23. Juni 1999</w:t>
      </w:r>
    </w:p>
    <w:p>
      <w:r>
        <w:t>Bundesverwaltung, 1999-06-23, DE</w:t>
      </w:r>
    </w:p>
    <w:p>
      <w:r>
        <w:rPr>
          <w:b/>
        </w:rPr>
        <w:t xml:space="preserve">Quelle: </w:t>
      </w:r>
      <w:r>
        <w:t>https://mcp.opencaselaw.ch/entscheid/ch_vb_2005-0941_2605_</w:t>
      </w:r>
    </w:p>
    <w:p>
      <w:r>
        <w:t>FR: CH_VB 2005-0941 2605 du 23 juin 1999</w:t>
      </w:r>
    </w:p>
    <w:p>
      <w:r>
        <w:t>IT: CH_VB 2005-0941 2605 del 23 giugno 1999</w:t>
      </w:r>
    </w:p>
    <w:p>
      <w:pPr>
        <w:pStyle w:val="Heading2"/>
      </w:pPr>
      <w:r>
        <w:t>Erwägungen</w:t>
      </w:r>
    </w:p>
    <w:p>
      <w:r>
        <w:rPr>
          <w:b/>
        </w:rPr>
        <w:t>E. 1</w:t>
      </w:r>
    </w:p>
    <w:p>
      <w:r>
        <w:t>Caractéristiques du produit (pour tous les produits mentionnés) Substance(s) active(s): Dazomet (DMTT) 98% Formulation: GR</w:t>
      </w:r>
    </w:p>
    <w:p>
      <w:r>
        <w:rPr>
          <w:b/>
        </w:rPr>
        <w:t>E. 2</w:t>
      </w:r>
    </w:p>
    <w:p>
      <w:r>
        <w:t>= Lors de chaque traitement, respecter une profondeur de 20 cm pour l’incorporation.</w:t>
      </w:r>
    </w:p>
    <w:p>
      <w:r>
        <w:rPr>
          <w:b/>
        </w:rPr>
        <w:t>E. 3</w:t>
      </w:r>
    </w:p>
    <w:p>
      <w:r>
        <w:t>= Uniquement dans les zones où il est bien établi qu’existe un risque</w:t>
      </w:r>
    </w:p>
    <w:p>
      <w:r>
        <w:t>d’attaque de la mosaïque de l’arabette, et où un contrôle du sol à (recherche de vecteurs) indique clairement la nécessité d’une intervention (dépassement des seuils de tolérance).</w:t>
      </w:r>
    </w:p>
    <w:p>
      <w:r>
        <w:rPr>
          <w:b/>
        </w:rPr>
        <w:t>E. 4</w:t>
      </w:r>
    </w:p>
    <w:p>
      <w:r>
        <w:t>= Traitement du compost interdit.</w:t>
      </w:r>
    </w:p>
    <w:p>
      <w:r>
        <w:rPr>
          <w:b/>
        </w:rPr>
        <w:t>E. 5</w:t>
      </w:r>
    </w:p>
    <w:p>
      <w:r>
        <w:t>= Mentionner sur les étiquettes et dans les prospectus et les autres recommandations le délai d’attente entre traitement et plantation ainsi que les mesures de précaution à prendre.</w:t>
      </w:r>
    </w:p>
    <w:p>
      <w:r>
        <w:rPr>
          <w:b/>
        </w:rPr>
        <w:t>E. 6</w:t>
      </w:r>
    </w:p>
    <w:p>
      <w:r>
        <w:t>= Sol lourd, faiblement humifère.</w:t>
      </w:r>
    </w:p>
    <w:p>
      <w:r>
        <w:rPr>
          <w:b/>
        </w:rPr>
        <w:t>E. 7</w:t>
      </w:r>
    </w:p>
    <w:p>
      <w:r>
        <w:t>= Réservé uniquement à la production commerciale de plantes d’ornement.</w:t>
      </w:r>
    </w:p>
    <w:p>
      <w:r>
        <w:t>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 Voies de droit La présente décision peut être attaquée, dans un délai de 30 jours à compter de sa notification, auprès de la Commission de recours DFE (REKO/DFE), 3202 Frauen- kappelen. Le mémoire de recours, à présenter en deux exemplaires, indique les conclusions, motifs et moyens de preuve et porte la signature du recourant ou de son représentant; y seront jointes la décision attaquée et les pièces invoquées comme moyens de preuve, lorsqu’elles sont disponibles. 26 avril 2005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2005 Année Anno Band 1 Volume Volume Heft 16 Cahier Numero Geschäftsnummer --- Numéro d'affaire Numero dell'oggetto Datum 26.04.2005 Date Data Seite 2605-2607 Page Pagina Ref. No</w:t>
      </w:r>
    </w:p>
    <w:p>
      <w:r>
        <w:rPr>
          <w:b/>
        </w:rPr>
        <w:t>E. 10</w:t>
      </w:r>
    </w:p>
    <w:p>
      <w:r>
        <w:t>138 582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