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2005-0818 819 vom 14. Dezember 2005</w:t>
      </w:r>
    </w:p>
    <w:p>
      <w:r>
        <w:t>Bundesverwaltung, 2005-12-14, DE</w:t>
      </w:r>
    </w:p>
    <w:p>
      <w:r>
        <w:rPr>
          <w:b/>
        </w:rPr>
        <w:t xml:space="preserve">Quelle: </w:t>
      </w:r>
      <w:r>
        <w:t>https://mcp.opencaselaw.ch/entscheid/ch_vb_2005-0818_819_</w:t>
      </w:r>
    </w:p>
    <w:p>
      <w:r>
        <w:t>FR: CH_VB 2005-0818 819 du 14 décembre 2005</w:t>
      </w:r>
    </w:p>
    <w:p>
      <w:r>
        <w:t>IT: CH_VB 2005-0818 819 del 14 dicembre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 d’engagement de 253 100 000 francs est octroyé au Conseil fédéral sous la forme d’un crédit de programme pour les projets mentionnés en annexe.</w:t>
      </w:r>
    </w:p>
    <w:p>
      <w:r>
        <w:rPr>
          <w:b/>
        </w:rPr>
        <w:t>E. 2</w:t>
      </w:r>
    </w:p>
    <w:p>
      <w:r>
        <w:t>FF 2005 4841</w:t>
      </w:r>
    </w:p>
    <w:p>
      <w:r>
        <w:t>Programme 2006 des constructions civiles. AF I</w:t>
      </w:r>
    </w:p>
    <w:p>
      <w:r>
        <w:t>820 Annexe Liste des nouveaux crédits d’ouvrage «Constructions civiles» (ch. 2 et 3 du message)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