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2005-0817 4841 vom 17. August 2005</w:t>
      </w:r>
    </w:p>
    <w:p>
      <w:r>
        <w:t>Bundesverwaltung, 2005-08-17, DE</w:t>
      </w:r>
    </w:p>
    <w:p>
      <w:r>
        <w:rPr>
          <w:b/>
        </w:rPr>
        <w:t xml:space="preserve">Quelle: </w:t>
      </w:r>
      <w:r>
        <w:t>https://mcp.opencaselaw.ch/entscheid/ch_vb_2005-0817_4841_</w:t>
      </w:r>
    </w:p>
    <w:p>
      <w:r>
        <w:t>FR: CH_VB 2005-0817 4841 du 17 août 2005</w:t>
      </w:r>
    </w:p>
    <w:p>
      <w:r>
        <w:t>IT: CH_VB 2005-0817 4841 del 17 agosto 2005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août 2005 Au nom du Conseil fédéral suisse:</w:t>
      </w:r>
    </w:p>
    <w:p>
      <w:r>
        <w:t>Le président de la Confédération, Samuel Schmid La chancelière de la Confédération, Annemarie Huber-Hotz</w:t>
      </w:r>
    </w:p>
    <w:p>
      <w:r>
        <w:t>4842 Condensé Par le présent message, le Conseil fédéral vous demande trois crédits d’engage- ment: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