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2005-0284 957 vom 15. Februar 2005</w:t>
      </w:r>
    </w:p>
    <w:p>
      <w:r>
        <w:t>Bundesverwaltung, 2005-02-15, DE</w:t>
      </w:r>
    </w:p>
    <w:p>
      <w:r>
        <w:rPr>
          <w:b/>
        </w:rPr>
        <w:t xml:space="preserve">Quelle: </w:t>
      </w:r>
      <w:r>
        <w:t>https://mcp.opencaselaw.ch/entscheid/ch_vb_2005-0284_957_</w:t>
      </w:r>
    </w:p>
    <w:p>
      <w:r>
        <w:t>FR: CH_VB 2005-0284 957 du 15 février 2005</w:t>
      </w:r>
    </w:p>
    <w:p>
      <w:r>
        <w:t>IT: CH_VB 2005-0284 957 del 15 febbraio 2005</w:t>
      </w:r>
    </w:p>
    <w:p>
      <w:pPr>
        <w:pStyle w:val="Heading2"/>
      </w:pPr>
      <w:r>
        <w:t>Erwägungen</w:t>
      </w:r>
    </w:p>
    <w:p>
      <w:r>
        <w:rPr>
          <w:b/>
        </w:rPr>
        <w:t>E. 3</w:t>
      </w:r>
    </w:p>
    <w:p>
      <w:r>
        <w:t>F 01.02.2005–30.01.2008 (Nouveau permis) Permis de travail de nuit et du dimanche (Art. 17 et 19 LTr) – 05-5739 / 101744 Benteler Automotive SA, 2882 Saint-Ursanne Production frappes 1, 2, 3, contrôle qualité, usinage, mécanique, maintenance, métrologie horaire d’exploitation indispensable pour des raisons économiques 150 H, 1 F 30.03.2003–01.04.2006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15 février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w:t>
      </w:r>
    </w:p>
    <w:p>
      <w:r>
        <w:rPr>
          <w:b/>
        </w:rPr>
        <w:t>E. 06</w:t>
      </w:r>
    </w:p>
    <w:p>
      <w:r>
        <w:t>Cahier Numero Geschäftsnummer --- Numéro d'affaire Numero dell'oggetto Datum 15.02.2005 Date Data Seite 957-958 Page Pagina Ref. No</w:t>
      </w:r>
    </w:p>
    <w:p>
      <w:r>
        <w:rPr>
          <w:b/>
        </w:rPr>
        <w:t>E. 10</w:t>
      </w:r>
    </w:p>
    <w:p>
      <w:r>
        <w:t>138 382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