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2005-0034 357 vom 18. Januar 2005</w:t>
      </w:r>
    </w:p>
    <w:p>
      <w:r>
        <w:t>Bundesverwaltung, 2005-01-18, DE</w:t>
      </w:r>
    </w:p>
    <w:p>
      <w:r>
        <w:rPr>
          <w:b/>
        </w:rPr>
        <w:t xml:space="preserve">Quelle: </w:t>
      </w:r>
      <w:r>
        <w:t>https://mcp.opencaselaw.ch/entscheid/ch_vb_2005-0034_357_</w:t>
      </w:r>
    </w:p>
    <w:p>
      <w:r>
        <w:t>FR: CH_VB 2005-0034 357 du 18 janvier 2005</w:t>
      </w:r>
    </w:p>
    <w:p>
      <w:r>
        <w:t>IT: CH_VB 2005-0034 357 del 18 gennaio 2005</w:t>
      </w:r>
    </w:p>
    <w:p>
      <w:pPr>
        <w:pStyle w:val="Heading2"/>
      </w:pPr>
      <w:r>
        <w:t>Volltext</w:t>
      </w:r>
    </w:p>
    <w:p>
      <w:r>
        <w:t>2005-0034 357 Exécution de la loi fédérale sur la formation professionnelle L’Association professionnelle des concierges formés (APCF), Association suisse des concierges (ASC), Association des entreprises suisse en nettoyage (Allpura), Asso- ciation suisses des propriétaires fonciers (APF), Association suisses des cadres (ASC), Association suisse et liechtensteinoise de la technique du bâtiment (suisse- tec) ont déposé un projet de règlement concernant l’examen professionnel supérieur de Gardien d’immeuble diplômé/Gardienne d’immeuble diplômée, conformément à l’art. 28, al. 2, de la loi fédérale du 13 décembre 2002 sur la formation profession- 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18 janvier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02 Cahier Numero Geschäftsnummer --- Numéro d'affaire Numero dell'oggetto Datum 18.01.2005 Date Data Seite 357-357 Page Pagina Ref. No 10 138 308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