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2004-2818 823 vom 18. Juni 2004</w:t>
      </w:r>
    </w:p>
    <w:p>
      <w:r>
        <w:t>Bundesverwaltung, 2004-06-18, DE</w:t>
      </w:r>
    </w:p>
    <w:p>
      <w:r>
        <w:rPr>
          <w:b/>
        </w:rPr>
        <w:t xml:space="preserve">Quelle: </w:t>
      </w:r>
      <w:r>
        <w:t>https://mcp.opencaselaw.ch/entscheid/ch_vb_2004-2818_823_</w:t>
      </w:r>
    </w:p>
    <w:p>
      <w:r>
        <w:t>FR: CH_VB 2004-2818 823 du 18 juin 2004</w:t>
      </w:r>
    </w:p>
    <w:p>
      <w:r>
        <w:t>IT: CH_VB 2004-2818 823 del 18 giugno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FF 2005 693</w:t>
      </w:r>
    </w:p>
    <w:p>
      <w:r>
        <w:rPr>
          <w:b/>
        </w:rPr>
        <w:t>E. 2</w:t>
      </w:r>
    </w:p>
    <w:p>
      <w:r>
        <w:t>RS 611.051</w:t>
      </w:r>
    </w:p>
    <w:p>
      <w:r>
        <w:t>Ordonnance de l’Assemblée fédérale concernant la soumission des demandes de crédits d’engagement destinés à l’acquisition de biens-fonds ou à des constructions 824</w:t>
      </w:r>
    </w:p>
    <w:p>
      <w:r>
        <w:t>Schweizerisches Bundesarchiv, Digitale Amtsdruckschriften Archives fédérales suisses, Publications officielles numérisées Archivio federale svizzero, Pubblicazioni ufficiali digitali Ordonnance de l'Assemblée fédérale concernant la soumission des demandes de crédits d'engagement destinés à l'acquisition de biens-fonds ou à des constructions (Projet) In Bundesblatt Dans Feuille fédérale In Foglio federale Jahr 2005 Année Anno Band 1 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08.02.2005 Date Data Seite 823-824 Page Pagina Ref. No</w:t>
      </w:r>
    </w:p>
    <w:p>
      <w:r>
        <w:rPr>
          <w:b/>
        </w:rPr>
        <w:t>E. 10</w:t>
      </w:r>
    </w:p>
    <w:p>
      <w:r>
        <w:t>138 360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