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2004-2321 421 vom 25. Januar 2005</w:t>
      </w:r>
    </w:p>
    <w:p>
      <w:r>
        <w:t>Bundesverwaltung, 2005-01-25, DE</w:t>
      </w:r>
    </w:p>
    <w:p>
      <w:r>
        <w:rPr>
          <w:b/>
        </w:rPr>
        <w:t xml:space="preserve">Quelle: </w:t>
      </w:r>
      <w:r>
        <w:t>https://mcp.opencaselaw.ch/entscheid/ch_vb_2004-2321_421_</w:t>
      </w:r>
    </w:p>
    <w:p>
      <w:r>
        <w:t>FR: CH_VB 2004-2321 421 du 25 janvier 2005</w:t>
      </w:r>
    </w:p>
    <w:p>
      <w:r>
        <w:t>IT: CH_VB 2004-2321 421 del 25 gennaio 2005</w:t>
      </w:r>
    </w:p>
    <w:p>
      <w:pPr>
        <w:pStyle w:val="Heading2"/>
      </w:pPr>
      <w:r>
        <w:t>Erwägungen</w:t>
      </w:r>
    </w:p>
    <w:p>
      <w:r>
        <w:rPr>
          <w:b/>
        </w:rPr>
        <w:t>E. 24</w:t>
      </w:r>
    </w:p>
    <w:p>
      <w:r>
        <w:t>Voir ch. 2.6, commentaire sur l’art. 4, al. 3bis.</w:t>
      </w:r>
    </w:p>
    <w:p>
      <w:r>
        <w:t>453 6 Bases légales Lors de l’adoption de la LMI en 1995, on s’est appuyé sur les art. 31bis et 33, al. 2, Cst. Ces normes constitutionnelles ont été remplacées, à la suite de mises à jour, par les dispositions des art. 27, 94 et 95, al. 2, Cst. En vertu de cette dernière disposition, la Confédération doit veiller à créer un espace économique suisse unique. La pos- sibilité qu’avait le législateur, dans l’ancienne Constitution, d’agir dans l’intérêt du marché intérieur, s’est aujourd’hui muée en mandat constitutionnel. Même s’il ne faut voir dans la nouvelle Constitution fédérale de 1999 qu’une simple mise à jour, il n’en demeure pas moins que cette nouvelle disposition confère à la LMI une base solide. Faute de dispositions détaillées, la Confédération dispose d’une grande marge de manœuvre pour exécuter ce mandat. Telle est la perception du Conseil fédéral con- cernant l’extension proposée de la liberté d’accès au marché à l’établissement com- mercial (art. 2 LMI) et le durcissement de l’art. 3 LMI. L’avis de droit commandé à MM. Auer/Mertenet arrive à la même conclusion25. Le projet vise principalement à renforcer le principe du marché intérieur (c.-à-d. la liberté d’accès au marché dans toute la Suisse) par rapport au principe du fédéra- lisme. Dans le domaine de la réglementation économique, le fédéralisme suisse com- prend l’ensemble des compétences cantonales régissant l’activité économique pri- vée. Il repose aussi sur le fait que les réglementations cantonales peuvent s’appuyer sur les résultats des votations populaires et, de fait, être légitimées par la plus haute instance de décision démocratique, ce qui mérite d’être souligné tout particulière- ment du point de vue constitutionnel. La présente révision n’entend toutefois pas supprimer le fédéralisme dans le domaine de la réglementation économique. Les cantons gardent leurs capacités de pilotage. Celles-ci découlent notamment de la compétence de surveillance du canton du lieu de destination (art. 2, al. 4, troisième phrase du projet), du caractère réfragable de la présomption d’équivalence des réglementations cantonales et communales (art. 2, al. 5, du projet) et de la mention explicite, à l’art. 2, al. 4, première phrase du projet, du fait que l’exercice de l’acti- vité au lieu de destination intervient «sous réserve de l’art. 3». L’art. 3 du projet permet au canton du lieu de destination compétent pour la surveillance de définir les charges régissant l’exercice de certaines activités économiques privées. L’extension de la liberté d’accès au marché à l’établissement commercial permet le deuxième établissement (et tout établissement supplémentaire) selon le droit du canton de provenance. Cela peut avoir pour effet que des entreprises de la même branche implantées dans un même canton soient assujetties à différents régimes juridiques (le deuxième établissement et d’éventuels établissements supplémentaires sont soumis au droit du premier établissement). Parfois, il peut arriver que des entreprises «indigènes» dans un canton (c.-à-d. des entreprises qui n’ont qu’un éta- blissement) soient désavantagées par rapport aux entreprises qui y sont présentes mais dont le premier établissement est sis hors de ce canton. Dans le cas, cité à diverses reprises, d’un prothésiste dentaire (ATF 125 I 276 ss.), un prothésiste dentaire zurichois pourrait aussi avoir son propre cabinet indépendant dans le canton des Grisons, tandis qu’un prothésiste dentaire grison ne pourrait exercer que dans le</w:t>
      </w:r>
    </w:p>
    <w:p>
      <w:r>
        <w:rPr>
          <w:b/>
        </w:rPr>
        <w:t>E. 25</w:t>
      </w:r>
    </w:p>
    <w:p>
      <w:r>
        <w:t>Voir ch. 1.4.1.2.</w:t>
      </w:r>
    </w:p>
    <w:p>
      <w:r>
        <w:t>454 cadre d’un laboratoire dentaire. Si cette inégalité de traitement du prothésiste den- taire grison est des plus délicates sous l’angle constitutionnel, elle est toutefois prise en compte dans la présente révision afin de faire progresser le principe du marché intérieur. Il incombera aux cantons, pour éliminer d’éventuelles discriminations des acteurs économiques indigènes, de libéraliser leurs prescriptions.</w:t>
      </w:r>
    </w:p>
    <w:p>
      <w:r>
        <w:t>455 Annexe 1 Pratique actuelle; activités de la Commission de la concurrence (y compris du secrétariat) (Etat: novembre 2004) Les activités de la Commission de la concurrence relevant de la loi sur le marché intérieur sont les suivantes: – recommandations adressées à la Confédération, aux cantons et aux commu- nes concernant les actes législatifs envisagés ou existants (art. 8 LMI); – expertises établies à l’intention des autorités administratives et judiciaires sur l’application de la loi sur le marché intérieur (art. 10, al. 1, LMI); – conseils et renseignements simples du secrétariat à l’intention des autorités administratives et des particuliers. Les deux premières activités et les explications fournies font l’objet d’une saisie statistique (voir tableau ci-dessous). Les simples renseignements ne donnent lieu à aucune statistique. Activité 19961 1997 1998 1999 2000 2001 2002 2003 2004 Total</w:t>
      </w:r>
    </w:p>
    <w:p>
      <w:r>
        <w:t>Recommandations 1 1 4 1 2 1 1 0 1 12 Expertises 0 0 1 0 0 3 0 1 0 4 Conseils du secrétariat 1 5 4 2 2 11 7 6 3 41</w:t>
      </w:r>
    </w:p>
    <w:p>
      <w:r>
        <w:t>1 1er semestre</w:t>
      </w:r>
    </w:p>
    <w:p>
      <w:r>
        <w:t>456 Annexe 2 Nombre de personnes actives occupées (indépendants) en Suisse dans des professions réglementées par au moins un canton</w:t>
      </w:r>
    </w:p>
    <w:p>
      <w:r>
        <w:t>2000 2000</w:t>
      </w:r>
    </w:p>
    <w:p>
      <w:r>
        <w:t>Total Indépendants</w:t>
      </w:r>
    </w:p>
    <w:p>
      <w:r>
        <w:t>3 789 416 345 929</w:t>
      </w:r>
    </w:p>
    <w:p>
      <w:r>
        <w:t>84 Professions de l’enseignement et de l’éducation (hors universités) 145 535 23 400 86504 Infirmiers diplômés 53 087 464 311 Ingénieurs (architectes non inclus) 31 226 11 981 41210 Installateurs et monteurs-électriciens26</w:t>
      </w:r>
    </w:p>
    <w:p>
      <w:r>
        <w:rPr>
          <w:b/>
        </w:rPr>
        <w:t>E. 30</w:t>
      </w:r>
    </w:p>
    <w:p>
      <w:r>
        <w:t>393 1 674 61101 Hôteliers, directeurs de restaurants 24 249 15 767 86101 Médecins 23 138 10 355 51108 Représentants, voyageurs de commerce27 22 301 1 253 62301 Coiffeurs 21 096 10 431 31101 Architectes 16 060 8 177 83102 Educateurs spécialisés 14 440 313 86102 Assistants médicaux 13 774 119 86201 Physiothérapeutes, ergothérapeutes 11 301 3 817 52302 Agents fiduciaires, conseillers fiscaux 9 688 2 943 53201 Professions du transport de personnes epa 9 263 1 799 41211 Planificateurs et installateurs sanitaires 8 912 1 259 86104 Aides en pharmacie 7 997 79 41205 Installateurs et monteurs d’installations de chauffage et de ventilation 7 937 1 222 75103 Avocats, notaires 7 813 4 844 83101 Assistants sociaux 7 653 130 86303 Aides en médecine dentaire 6 955</w:t>
      </w:r>
    </w:p>
    <w:p>
      <w:r>
        <w:rPr>
          <w:b/>
        </w:rPr>
        <w:t>E. 35</w:t>
      </w:r>
    </w:p>
    <w:p>
      <w:r>
        <w:t>72104 Spécialistes en immobilier et gérants 6 830 1 675 83103 Directeurs de homes et de crèches 6 114 663 86207 Autres professions de la thérapeutique et de la techni- que médicale 5 996 3 189 52301 Experts-comptables, réviseurs 5 995 344 62302 Esthéticiens 4 838 3 071 85103 Psychologues et conseillers en orientation professionnelle 4 814 1 075 74105 Autres professions de la sécurité 4 471 173</w:t>
      </w:r>
    </w:p>
    <w:p>
      <w:r>
        <w:t>26 Conformément à l’ordonnance révisée sur les installations à basse tension (RS 734.27), l’autorisation est désormais délivrée par l’Inspection fédérale des installations à courant fort. 27 Catégories désormais régies par la loi fédérale du 23 mars 2001 sur le commerce itinérant (RS 943.1).</w:t>
      </w:r>
    </w:p>
    <w:p>
      <w:r>
        <w:t>457</w:t>
      </w:r>
    </w:p>
    <w:p>
      <w:r>
        <w:t>2000 2000</w:t>
      </w:r>
    </w:p>
    <w:p>
      <w:r>
        <w:t>Total Indépendants</w:t>
      </w:r>
    </w:p>
    <w:p>
      <w:r>
        <w:t>86103 Pharmaciens 3 936 922 86301 Dentistes 3 829 2 799 86206 Assistants médico-techniques 3 718 18 51105 Droguistes 3 696 444 86208 Laborantins médicaux 3 572 15 86204 Opticiens 3 501 542 52401 Courtiers, commissaires-priseurs 3 492 1 266 86502 Infirmiers en pédiatrie et hygiène maternelle 3 450</w:t>
      </w:r>
    </w:p>
    <w:p>
      <w:r>
        <w:rPr>
          <w:b/>
        </w:rPr>
        <w:t>E. 40</w:t>
      </w:r>
    </w:p>
    <w:p>
      <w:r>
        <w:t>86503 Infirmiers en psychiatrie 3 296 29 86205 Masseurs 2 880 2 043 86302 Techniciens-dentistes 2 537 965 53204 Moniteurs d’auto-école et experts en automobiles 2 523 1 698 86202 Psychothérapeutes (non-médecins) 2 395 1 522 35106 Surveillants de machines et d’installations, réviseurs de citernes 2 132</w:t>
      </w:r>
    </w:p>
    <w:p>
      <w:r>
        <w:t>70 62303 Manucures et pédicures 2 102 1 750 25104 Electriciens de réseau et monteurs de câbles 2 058 20 86501 Sages-femmes 2 033 284 86203 Guérisseurs, naturopathes 1 835 1 551 86401 Vétérinaires 1 766 894 33102 Dessinateurs-géomètres 1 591 15 62104 Ramoneurs 1 450 434 86304 Hygiénistes dentaires 1 421 20 11305 Autres professions de gardiennage d’animaux 1 408 439 11501 Gardes forestiers 1 129</w:t>
      </w:r>
    </w:p>
    <w:p>
      <w:r>
        <w:rPr>
          <w:b/>
        </w:rPr>
        <w:t>E. 42</w:t>
      </w:r>
    </w:p>
    <w:p>
      <w:r>
        <w:t>41106 Spécialistes du minage, constructeurs de tunnels 722 13 86402 Assistants en médecine vétérinaire 694 8 25108 Monteurs du téléphone et des télégraphes 457 10 52402 Prêteurs et loueurs 368 166 62201 Agents ou entrepreneurs des pompes funèbres 653 92 42101 Professions de l’exploitation minière et de l’extraction des produits du sous-sol 336</w:t>
      </w:r>
    </w:p>
    <w:p>
      <w:r>
        <w:t>40 11504 Professions en rapport avec la pêche 305 188 51106 Marchands d’animaux 282 218 11503 Professions en rapport avec la chasse et gardes-chasse 186 5</w:t>
      </w:r>
    </w:p>
    <w:p>
      <w:r>
        <w:t>Total</w:t>
      </w:r>
    </w:p>
    <w:p>
      <w:r>
        <w:t>577 341 128 832</w:t>
      </w:r>
    </w:p>
    <w:p>
      <w:r>
        <w:t>Pourcentage des professions ou des activités réglementées par les cantons 15,2 %</w:t>
      </w:r>
    </w:p>
    <w:p>
      <w:r>
        <w:t>37,2 %</w:t>
      </w:r>
    </w:p>
    <w:p>
      <w:r>
        <w:t>458 Annexe 3 Pratique du Tribunal fédéral ATF 123 I 313 (Exercice de la profession d’avocat par un avocat zurichois dans le canton de Berne, procédure d’autorisation): a) l’exigence d’un certificat de bonnes mœurs et d’un extrait de casier judiciaire constitue une restriction inadmissible à la liberté d’accès au marché étant donné que les prescriptions zurichoises protègent suffisamment les intérêts publics des consommateurs (honorabilité et crédibilité) – (art. 2 en relation avec l’art. 3 LMI); b) gratuité de la procédure (art. 4, al. 2, LMI) y compris pour l’examen des conditions personnelles d’exercice de la profession. ATF 2P.433/1997 (exercice de la profession de notaire dans le canton de Soleure par un notaire argovien). La LMI ne trouve pas application étant donné que l’activité d’authentification relève de la puissance publique et ne bénéficie donc pas de la protection de la liberté économique (art. 1, al. 3, LMI); le caractère de puissance publique de cette activité est confirmé à l’ATF 128 I 280. ATF 125 II 56 (exercice de la profession d’avocat dans le canton de Lucerne par un avocat zurichois, procédure d’autorisation): la gratuité de la procédure (art. 4, al. 2, LMI) vaut aussi pour l’octroi de l’autorisation d’exercer. ATF 125 I 267 (refus à un dentiste détenteur d’un diplôme allemand d’exercer dans le canton des Grisons): l’art. 4 LMI ne porte que sur les certificats de capacité suis- ses, même si un diplôme étranger est reconnu par certains cantons. ATF 125 I 322 (refus à un thérapeute détenteur d’un certificat de capacité d’Appenzell Rhodes-Extérieures d’exercer dans le canton de Zurich): a) l’art. 2 LMI n’est pas applicable étant donné que l’exercice de la professions est régi par les dispositions du canton d’établissement; b) la prescription légale, selon laquelle le recours à des méthodes de médecine naturelle est réservé aux professionnels de la santé diplômés, constitue une restriction admissible à la liberté d’accès au marché (art. 3, al. 1, LMI); c) on ne peut se prévaloir de l’art. 4 LMI étant donné que le droit zurichois ne prévoit pas l’exercice indépendant de cette profession, cet exercice étant réservé aux professionnels de la santé diplômés. ATF 125 I 276 (refus à un prothésiste-dentaire détenteur d’un certificat de capacité zurichois d’exercer dans le canton des Grisons): a) l’art. 2 LMI n’est pas applicable étant donné que l’exercice de la profession est régi par les dispositions du canton d’établissement; b) on ne peut se prévaloir de l’art. 4 LMI étant donné que le droit grison ne prévoit pas l’exercice indépendant de cette profession, cet exercice étant réservé aux dentistes. ATF 2P.362/1998 (refus de délivrer à un aubergiste soleurois sans certificat de capacité une autorisation de gestion d’un établissement public dans le canton de Bâle-Campagne): l’art. 2 LMI n’est pas applicable étant donné que l’octroi d’une autorisation est régi par les prescriptions du canton d’établissement, lequel exige un certificat de capacité. ATF 125 II 406 (exercice par un avocat zurichois de la profession d’avocat dans le canton d’Appenzell Rhodes-Intérieures, procédure d’autorisation): la gratuité de la procédure (art. 4, al. 2, LMI) exclut également la perception d’un faible émolument de chancellerie.</w:t>
      </w:r>
    </w:p>
    <w:p>
      <w:r>
        <w:t>459 ATF 125 I 474 (interdiction de l’envoi de médicaments par une pharmacie soleu- roise à destination du canton de Vaud): l’interdiction vaudoise constitue une restric- tion inadmissible à la liberté d’accès au marché, étant donné que les prescriptions du canton de Soleure protègent suffisamment les intérêts (légitimes) de santé publique (art. 2 en relation avec l’art. 3 LMI). BGE 2P.180/2000 (assurance de responsabilité civile professionnelle obligatoire pour les avocats dans le canton d’Argovie): l’assurance responsabilité civile profes- sionnelle obligatoire avec montant de couverture minimal de 1 000 000 francs constitue une restriction admissible à la liberté d’accès au marché (art. 3, al. 1, LMI). ATF 128 I 295 (interdiction par le Canton de Genève de l’affichage de publicité pour le tabac et les alcools de plus de 15 % vol. sur le domaine public et sur le domaine privé visible depuis le domaine public; contrôle abstrait des normes par le TF): a) la question de savoir si l’interdiction constitue une réelle restriction à l’accès au marché au sens de l’art. 3 est laissée ouverte; b) si tel était le cas, elle serait admissible (art. 3, al. 1, LMI).</w:t>
      </w:r>
    </w:p>
    <w:p>
      <w:r>
        <w:t>460</w:t>
      </w:r>
    </w:p>
    <w:p>
      <w:r>
        <w:t>Schweizerisches Bundesarchiv, Digitale Amtsdruckschriften Archives fédérales suisses, Publications officielles numérisées Archivio federale svizzero, Pubblicazioni ufficiali digitali Message relatif à la révision de la loi sur le marché intérieur In Bundesblatt Dans Feuille fédérale In Foglio federale Jahr 2005 Année Anno Band 1 Volume Volume Heft 03 Cahier Numero Geschäftsnummer 04.078 Numéro d'affaire Numero dell'oggetto Datum 25.01.2005 Date Data Seite 421-460 Page Pagina Ref. No 10 138 315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