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2004-2129 373 vom 16. Mai 2004</w:t>
      </w:r>
    </w:p>
    <w:p>
      <w:r>
        <w:t>Bundesverwaltung, 2004-05-16, DE</w:t>
      </w:r>
    </w:p>
    <w:p>
      <w:r>
        <w:rPr>
          <w:b/>
        </w:rPr>
        <w:t xml:space="preserve">Quelle: </w:t>
      </w:r>
      <w:r>
        <w:t>https://mcp.opencaselaw.ch/entscheid/ch_vb_2004-2129_373_</w:t>
      </w:r>
    </w:p>
    <w:p>
      <w:r>
        <w:t>FR: CH_VB 2004-2129 373 du 16 mai 2004</w:t>
      </w:r>
    </w:p>
    <w:p>
      <w:r>
        <w:t>IT: CH_VB 2004-2129 373 del 16 maggio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canton de Fribourg est un Etat de droit libéral, démocratique et social.</w:t>
      </w:r>
    </w:p>
    <w:p>
      <w:r>
        <w:rPr>
          <w:b/>
        </w:rPr>
        <w:t>E. 2</w:t>
      </w:r>
    </w:p>
    <w:p>
      <w:r>
        <w:t>Sa capitale est la ville de Fribourg, Freiburg en allemand.</w:t>
      </w:r>
    </w:p>
    <w:p>
      <w:r>
        <w:rPr>
          <w:b/>
        </w:rPr>
        <w:t>E. 3</w:t>
      </w:r>
    </w:p>
    <w:p>
      <w:r>
        <w:t>La langue officielle des communes est le français ou l’allemand. Dans les communes comprenant une minorité linguistique autochtone importante, le français et l’allemand peuvent être les langues officiel- les.</w:t>
      </w:r>
    </w:p>
    <w:p>
      <w:r>
        <w:rPr>
          <w:b/>
        </w:rPr>
        <w:t>E. 4</w:t>
      </w:r>
    </w:p>
    <w:p>
      <w:r>
        <w:t>L’Etat favorise la compréhension, la bonne entente et les échanges entre les communautés linguistiques cantonales. Il encourage le bilin- guisme.</w:t>
      </w:r>
    </w:p>
    <w:p>
      <w:r>
        <w:rPr>
          <w:b/>
        </w:rPr>
        <w:t>E. 5</w:t>
      </w:r>
    </w:p>
    <w:p>
      <w:r>
        <w:t>Pouvoir judiciaire, Ministère public et Conseil de la magistrature</w:t>
      </w:r>
    </w:p>
    <w:p>
      <w:r>
        <w:rPr>
          <w:b/>
        </w:rPr>
        <w:t>E. 6</w:t>
      </w:r>
    </w:p>
    <w:p>
      <w:r>
        <w:t>Communes (art. 49 à 51 et 129 à 135)</w:t>
      </w:r>
    </w:p>
    <w:p>
      <w:r>
        <w:t>Constitution du canton de Fribourg 402</w:t>
      </w:r>
    </w:p>
    <w:p>
      <w:r>
        <w:t>Schweizerisches Bundesarchiv, Digitale Amtsdruckschriften Archives fédérales suisses, Publications officielles numérisées Archivio federale svizzero, Pubblicazioni ufficiali digitali Constitution du canton de Fribourg, &lt;bd&gt; In Bundesblatt Dans Feuille fédérale In Foglio federale Jahr 2005 Année Anno Band 1 Volume Volume Heft 03 Cahier Numero Geschäftsnummer --- Numéro d'affaire Numero dell'oggetto Datum 25.01.2005 Date Data Seite 373-402 Page Pagina Ref. No</w:t>
      </w:r>
    </w:p>
    <w:p>
      <w:r>
        <w:rPr>
          <w:b/>
        </w:rPr>
        <w:t>E. 10</w:t>
      </w:r>
    </w:p>
    <w:p>
      <w:r>
        <w:t>138 312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