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2004-2075 6001 vom 9. November 2004</w:t>
      </w:r>
    </w:p>
    <w:p>
      <w:r>
        <w:t>Bundesverwaltung, 2004-11-09, DE</w:t>
      </w:r>
    </w:p>
    <w:p>
      <w:r>
        <w:rPr>
          <w:b/>
        </w:rPr>
        <w:t xml:space="preserve">Quelle: </w:t>
      </w:r>
      <w:r>
        <w:t>https://mcp.opencaselaw.ch/entscheid/ch_vb_2004-2075_6001_</w:t>
      </w:r>
    </w:p>
    <w:p>
      <w:r>
        <w:t>FR: CH_VB 2004-2075 6001 du 9 novembre 2004</w:t>
      </w:r>
    </w:p>
    <w:p>
      <w:r>
        <w:t>IT: CH_VB 2004-2075 6001 del 9 novembre 2004</w:t>
      </w:r>
    </w:p>
    <w:p>
      <w:pPr>
        <w:pStyle w:val="Heading2"/>
      </w:pPr>
      <w:r>
        <w:t>Erwägungen</w:t>
      </w:r>
    </w:p>
    <w:p>
      <w:r>
        <w:rPr>
          <w:b/>
        </w:rPr>
        <w:t>E. 1</w:t>
      </w:r>
    </w:p>
    <w:p>
      <w:r>
        <w:t>Un comité mixte composé de représentants des parties contractantes veille à la bonne application du présent accord. Le comité se réunit à la demande d’une partie contractante.</w:t>
      </w:r>
    </w:p>
    <w:p>
      <w:r>
        <w:rPr>
          <w:b/>
        </w:rPr>
        <w:t>E. 2</w:t>
      </w:r>
    </w:p>
    <w:p>
      <w:r>
        <w:t>Les membres du comité mixte se concertent à propos des implications de tout nouvel acte de la législation communautaire modifiant le règlement (CEE) n° 1210/90 ou de tout autre instrument juridique visé dans le présent accord, y compris le cas échéant sur les incidences probables de la contribution financière prévue à l’art. 2 du présent accord ainsi qu’à son annexe II.</w:t>
      </w:r>
    </w:p>
    <w:p>
      <w:r>
        <w:t>Agence européenne pour l’environnement. Accord avec la CE 6004</w:t>
      </w:r>
    </w:p>
    <w:p>
      <w:r>
        <w:rPr>
          <w:b/>
        </w:rPr>
        <w:t>E. 3</w:t>
      </w:r>
    </w:p>
    <w:p>
      <w:r>
        <w:t>Conformément aux procédures internes respectives des parties contractantes, le comité mixte peut adopter une décision modifiant les annexes du présent accord ou décider toute autre mesure pour préserver le bon fonctionnement du présent accord.</w:t>
      </w:r>
    </w:p>
    <w:p>
      <w:r>
        <w:rPr>
          <w:b/>
        </w:rPr>
        <w:t>E. 4</w:t>
      </w:r>
    </w:p>
    <w:p>
      <w:r>
        <w:t>Après l’entrée en vigueur du présent accord et au début de chaque année sui- vante, la Commission des Communautés européennes, ci-après dénommée «la Commission», adresse à la Suisse un appel de fonds correspondant à la contribution de cette dernière à l’agence telle qu’elle est prévue par le présent accord. Pour la première année civile de sa participation, la Suisse paiera une contribution propor- tionnelle calculée à partir de la date de sa participation jusqu’à la fin de l’année en cours. Les années suivantes, la contribution sera telle que prévue dans le présent accord. Cette contribution est exprimée en euros et versée sur un compte bancaire de la Commission libellé en euros.</w:t>
      </w:r>
    </w:p>
    <w:p>
      <w:r>
        <w:rPr>
          <w:b/>
        </w:rPr>
        <w:t>E. 5</w:t>
      </w:r>
    </w:p>
    <w:p>
      <w:r>
        <w:t>La Commission communique, dans les meilleurs délais, au Contrôle fédéral des finances suisse, tout fait ou tout soupçon relatif à une irrégularité dont elle a eu connaissance dans le cadre de l’exécution du contrôle ou de la vérification sur place. En tout état de cause, la Commission est tenue d’informer l’autorité susvisée du résultat de ces contrôles et vérifications. Art. 4 Information et consultation 1. Aux fins de la bonne exécution de cette annexe, les autorités compétentes suisses et communautaires procèdent régulièrement à des échanges d’information et, à la demande de l’une d’elles, procèdent à des consultations. 2. Les autorités compétentes suisses informent sans délai l’agence et la Commission de tout élément porté à leur connaissance laissant supposer l’existence d’irrégu- larités relatives à la conclusion et à l’exécution des contrats ou conventions conclus en application des instruments auxquels se réfère le présent accord. Art. 5 Confidentialité Les informations communiquées ou obtenues en vertu de la présente annexe, sous quelque forme que ce soit, sont couvertes par le secret professionnel et bénéficient de la protection accordée aux informations analogues par le droit suisse et par les dispositions correspondantes applicables aux institutions communautaires. Ces informations ne peuvent ni être communiquées à des personnes autres que celles qui, au sein des institutions communautaires, des États membres ou de la Suisse, sont, par leurs fonctions, appelées à en connaître, ni être utilisées à d’autres fins que celles d’assurer une protection efficace des intérêts financiers des parties contractantes.</w:t>
      </w:r>
    </w:p>
    <w:p>
      <w:r>
        <w:t>Agence européenne pour l’environnement. Accord avec la CE 6018 Art. 6 Mesures et sanctions administratives Sans préjudice de l’application du droit pénal suisse, des mesures et des sanctions administratives pourront être imposées par l’agence ou par la Commission en con- formité avec les règlements (CE, Euratom) n° 1605/2002 du Conseil du 25 juin 2002 et le règlement (CE, Euratom) n° 2342/2002 de la Commission du 23 décembre 2002, ainsi qu’avec le règlement (CE, Euratom) n° 2988/95 du Conseil du 18 décembre 1995 relatif à la protection des intérêts financiers des Communautés européennes. Art. 7 Recouvrement et exécution Les décisions de l’agence ou de la Commission, prises dans le cadre du champ d’application du présent accord, qui comportent, à la charge des personnes autres que les États, une obligation pécuniaire, forment titre exécutoire en Suisse. La for- mule exécutoire est apposée, sans autre contrôle que celui de la vérification de l’authenticité du titre, par l’autorité désignée par le gouvernement suisse qui en donnera connaissance à l’agence ou à la Commission. L’exécution forcée a lieu selon les règles de la procédure suisse. La légalité de la décision formant titre exécu- toire est soumise au contrôle de la Cour de justice des Communautés européennes. Les arrêts de la Cour de justice des Communautés européennes prononcés en vertu d’une clause compromissoire ont force exécutoire sous les mêmes conditions.</w:t>
      </w:r>
    </w:p>
    <w:p>
      <w:r>
        <w:t>Schweizerisches Bundesarchiv, Digitale Amtsdruckschriften Archives fédérales suisses, Publications officielles numérisées Archivio federale svizzero, Pubblicazioni ufficiali digitali Accord &lt;bd&gt; entre la Confédération suisse et la Communauté européenne concernant la participation de la Suisse à l'Agence européenne pour l'environnement et au réseau européen d'information et d'observation pour l'environnement (EIONET) (avec annexes... In Bundesblatt Dans Feuille fédérale In Foglio federale Jahr 2004 Année Anno Band 1 Volume Volume Heft 44 Cahier Numero Geschäftsnummer --- Numéro d'affaire Numero dell'oggetto Datum 09.11.2004 Date Data Seite 6001-6018 Page Pagina Ref. No</w:t>
      </w:r>
    </w:p>
    <w:p>
      <w:r>
        <w:rPr>
          <w:b/>
        </w:rPr>
        <w:t>E. 10</w:t>
      </w:r>
    </w:p>
    <w:p>
      <w:r>
        <w:t>138 115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