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2004-2004 5573 vom 9. November 2004</w:t>
      </w:r>
    </w:p>
    <w:p>
      <w:r>
        <w:t>Bundesverwaltung, 2004-11-09, DE</w:t>
      </w:r>
    </w:p>
    <w:p>
      <w:r>
        <w:rPr>
          <w:b/>
        </w:rPr>
        <w:t xml:space="preserve">Quelle: </w:t>
      </w:r>
      <w:r>
        <w:t>https://mcp.opencaselaw.ch/entscheid/ch_vb_2004-2004_5573_</w:t>
      </w:r>
    </w:p>
    <w:p>
      <w:r>
        <w:t>FR: CH_VB 2004-2004 5573 du 9 novembre 2004</w:t>
      </w:r>
    </w:p>
    <w:p>
      <w:r>
        <w:t>IT: CH_VB 2004-2004 5573 del 9 novembre 2004</w:t>
      </w:r>
    </w:p>
    <w:p>
      <w:pPr>
        <w:pStyle w:val="Heading2"/>
      </w:pPr>
      <w:r>
        <w:t>Erwägungen</w:t>
      </w:r>
    </w:p>
    <w:p>
      <w:r>
        <w:rPr>
          <w:b/>
        </w:rPr>
        <w:t>E. 1</w:t>
      </w:r>
    </w:p>
    <w:p>
      <w:r>
        <w:t>Les nouveaux États membres deviennent parties contractantes à l’accord,</w:t>
      </w:r>
    </w:p>
    <w:p>
      <w:r>
        <w:rPr>
          <w:b/>
        </w:rPr>
        <w:t>E. 2</w:t>
      </w:r>
    </w:p>
    <w:p>
      <w:r>
        <w:t>La version maltaise du présent protocole sera authentifiée par les parties contrac- tantes sur la base d’un échange de lettres. Elle fera également foi, au même titre que les langues visées au paragraphe 1.</w:t>
      </w:r>
    </w:p>
    <w:p>
      <w:r>
        <w:rPr>
          <w:b/>
        </w:rPr>
        <w:t>E. 3</w:t>
      </w:r>
    </w:p>
    <w:p>
      <w:r>
        <w:t>Chypre Chypre peut maintenir en vigueur pendant cinq ans à compter de son adhésion à l’UE sa législation en vigueur au 31 décembre 2000 concernant l’acquisition de résidences secondaires. En vertu de la loi Cap 109 sur l’acquisition d’immeubles (par des étrangers) et des lois modificatrices 52/69, 55/72 et 50/90, l’acquisition d’immeubles à Chypre par des non-chypriotes est soumise à l’approbation du Conseil des ministres. Le Conseil des ministres a autorisé les officiers de district à accorder cette approbation en leur nom. Lorsque l’immeuble concerné dépasse 2 donums (1 donum = 1338 m2), cette approbation peut être accordée uniquement aux fins suivantes : a. résidence principale ou secondaire ne dépassant pas une superficie de 3 donums, b. locaux professionnels ou commerciaux, c. entreprise dans des secteurs considérés comme bénéfiques pour l’économie chypriote.</w:t>
      </w:r>
    </w:p>
    <w:p>
      <w:r>
        <w:t>Libre circulation des personnes. Protocole</w:t>
      </w:r>
    </w:p>
    <w:p>
      <w:r>
        <w:t>5582 La loi susmentionnée a été modifiée par la loi n° 54(I)/2003 de 2003 sur les acquisi- tions d’immeubles (par des étrangers) (modification). La nouvelle loi n’impose aucune restriction aux ressortissants et aux sociétés de l’UE pour l’acquisition d’un immeuble liée à une résidence principale et à un investissement direct étranger, ni pour l’acquisition d’immeubles par des agents et promoteurs immobiliers de l’UE. En ce qui concerne l’acquisition de résidences secondaires, la loi dispose que pen- dant une période de cinq ans après l’adhésion de Chypre à l’UE, les ressortissants de l’UE qui ne résident pas en permanence à Chypre et les sociétés de l’UE qui n’ont pas leur siège statuaire, leur administration centrale ou leur établissement principal à Chypre ne peuvent acquérir des immeubles pour les utiliser comme résidence secon- daire sans l’autorisation préalable du Conseil des ministres, qui a délégué son auto- rité aux officiers de district, comme indiqué ci-dessus.</w:t>
      </w:r>
    </w:p>
    <w:p>
      <w:r>
        <w:rPr>
          <w:b/>
        </w:rPr>
        <w:t>E. 4</w:t>
      </w:r>
    </w:p>
    <w:p>
      <w:r>
        <w:t>Lettonie a. La Lettonie peut maintenir en vigueur pendant sept ans à compter de son adhési- on à l’UE les règles prévues dans sa législation modifiant la loi sur la privatisation des terres agricoles (en vigueur depuis le 14 avril 2003) concernant l’acquisition de terres agricoles et de forêts par des ressortissants suisses et par des sociétés constitu- ées conformément à la législation suisse qui ne sont ni établies ni immatriculées sur le territoire de la République de Lettonie et qui n’y ont ni succursale ni représentati- on. Un ressortissant suisse ne peut en aucun cas être traité, en ce qui concerne l’acquisition de terres agricoles et de forêts, moins favorablement qu’à la date de signature du présent protocole, ni être traité d’une manière plus restrictive qu’un ressortissant d’un pays tiers. b. Ces mesures transitoires font l’objet d’un réexamen général avant la fin de la troisième année suivant l’adhésion de la République de Lettonie à l’UE. À cet effet, la Commission soumet un rapport au comité mixte. Le comité mixte peut décider de raccourcir ou de clôturer la période transitoire prévue au point a. c. S’il existe, à l’expiration de la période transitoire, des indices suffisants de per- turbations graves ou de menace de perturbations graves du marché immobilier agricole letton, le comité mixte, à la demande de la Lettonie, peut décider de pro- roger la période transitoire de trois ans au maximum.</w:t>
      </w:r>
    </w:p>
    <w:p>
      <w:r>
        <w:rPr>
          <w:b/>
        </w:rPr>
        <w:t>E. 5</w:t>
      </w:r>
    </w:p>
    <w:p>
      <w:r>
        <w:t>Lituanie a. La Lituanie peut maintenir en vigueur pendant sept ans à compter de son adhési- on à l’UE sa législation en vigueur à la date de signature du présent protocole con- cernant l’acquisition de terres agricoles et de forêts par des ressortissants suisses et par des sociétés constituées conformément à la législation suisse qui ne sont ni établies ni immatriculées sur le territoire de la République de Lituanie et qui n’y ont ni succursale ni représentation. Un ressortissant suisse ne peut en aucun cas être traité, en ce qui concerne l’acquisition de terres agricoles et de forêts, moins favo- rablement qu’à la date de signature du présent protocole, ni être traité d’une manière plus restrictive qu’un ressortissant d’un pays tiers. En vertu de cette législation, les ressortissants et personnes morales suisses, ainsi que les organisations suisses sans personnalité juridique mais dotées de la capacité civile prévue par la législation suisse, ne peuvent acquérir des terres agricoles ni des forêts avant la fin de la période</w:t>
      </w:r>
    </w:p>
    <w:p>
      <w:r>
        <w:t>Libre circulation des personnes. Protocole</w:t>
      </w:r>
    </w:p>
    <w:p>
      <w:r>
        <w:t>5583 transitoire de sept ans définie par le traité d’adhésion de la République de Lituanie à l’Union européenne. b. Les ressortissants suisses qui souhaitent s’établir comme agriculteurs indépen- dants et résider en Lituanie et qui y ont légalement résidé et exercé une activité agricole pendant au moins trois années sans interruption ne sont pas soumis aux dispositions du point a ni à des procédures autres que celles auxquelles sont soumis les ressortissants de la République de Lituanie. c. Ces mesures transitoires font l’objet d’un réexamen général dans le courant de la troisième année suivant l’adhésion de la République de Lituanie à l’UE. À cet effet, la Commission soumet un rapport au comité mixte. Le comité mixte peut décider de raccourcir ou de clôturer la période transitoire prévue au point a. d. S’il existe, à l’expiration de la période transitoire, des indices suffisants de per- turbations graves ou de menace de perturbations graves du marché immobilier agricole lituanien, le comité mixte, à la demande de la République de Lituanie, peut décider de proroger la période transitoire de trois ans au maximum.</w:t>
      </w:r>
    </w:p>
    <w:p>
      <w:r>
        <w:rPr>
          <w:b/>
        </w:rPr>
        <w:t>E. 6</w:t>
      </w:r>
    </w:p>
    <w:p>
      <w:r>
        <w:t>Hongrie a. La Hongrie peut maintenir en vigueur pendant cinq ans à compter de son adhé- sion à l’UE les dispositions de sa loi LV de 1994 sur les terres agricoles concernant l’acquisition de résidences secondaires. b. Les ressortissants suisses qui ont résidé légalement en Hongrie pendant au moins quatre années sans interruption ne sont pas soumis aux dispositions du point a ni à des règles et procédures autres que celles auxquelles sont soumis les ressortissants de la République de Hongrie. Pendant la période transitoire, la Hongrie applique pour l’acquisition de résidences secondaires des procédures d’autorisation fondées sur des critères transparents, objectifs, stables et publics. Ces critères sont appliqués d’une manière non discriminatoire et n’établissent pas de distinction entre les ressor- tissants hongrois et les ressortissants suisses résidant en Hongrie. c. La Hongrie peut maintenir en vigueur pendant sept ans à compter de son adhési- on à l’UE les interdictions de sa loi LV de 1994 sur les terres agricoles, modifiée, concernant l’acquisition de terres agricoles par des personnes physiques qui ne sont ni résidents ni ressortissants hongrois et par des personnes morales. d. Les ressortissants suisses qui souhaitent s’établir comme agriculteurs indépen- dants en Hongrie et qui y ont légalement résidé et exercé une activité agricole pen- dant au moins trois années sans interruption ne sont pas soumis aux dispositions du point c ni à des règles et procédures autres que celles auxquelles sont soumis les ressortissants de la République de Hongrie. e. Ces mesures transitoires font l’objet d’un réexamen général dans le courant de la troisième année suivant l’adhésion de la République de Hongrie à l’UE. À cet effet, la Commission soumet un rapport au comité mixte. Le comité mixte peut décider de raccourcir ou de clôturer la période transitoire prévue au point c.</w:t>
      </w:r>
    </w:p>
    <w:p>
      <w:r>
        <w:t>Libre circulation des personnes. Protocole</w:t>
      </w:r>
    </w:p>
    <w:p>
      <w:r>
        <w:t>5584 f. Si la Hongrie applique des procédures d’autorisation pour l’acquisition de rési- dences secondaires pendant la période transitoire, ces procédures sont fondées sur des critères transparents, objectifs, stables et publics. Ces critères sont appliqués de manière non discriminatoire. g. S’il existe, à l’expiration de la période transitoire, des indices suffisants de per- turbations graves ou de menace de perturbations graves du marché immobilier agricole hongrois, le comité mixte, à la demande de la République de Hongrie, peut décider de proroger la période transitoire de trois ans au maximum.</w:t>
      </w:r>
    </w:p>
    <w:p>
      <w:r>
        <w:rPr>
          <w:b/>
        </w:rPr>
        <w:t>E. 7</w:t>
      </w:r>
    </w:p>
    <w:p>
      <w:r>
        <w:t>Malte Les acquisitions d’immeubles dans les îles maltaises sont régies par la loi sur la propriété immobilière (acquisitions par des non-résidents) (Cap. 246 de la législation maltaise). Cette loi dispose ce qui suit:</w:t>
      </w:r>
    </w:p>
    <w:p>
      <w:r>
        <w:t>a. (1) Un ressortissant suisse peut acquérir un immeuble à Malte en vue de l’utiliser lui-même comme résidence (pas nécessairement principale) à condition qu’il ne possède pas déjà une autre résidence à Malte. De telles acquisitions ne sont pas subordonnées à la condition que la per- sonne ait le droit de séjourner à Malte, mais elles sont soumises à une autorisation qui (sous réserve de quelques exceptions prévues par la législation) ne peut être refusée si la valeur de l’immeuble est supé- rieure à un montant donné indexé annuellement (actuellement, 30 000 Lm pour un appartement et 50 000 Lm pour une maison).</w:t>
      </w:r>
    </w:p>
    <w:p>
      <w:r>
        <w:t>(2) Les ressortissants suisses peuvent aussi établir leur résidence principale à Malte à tout moment selon les règles nationales applicables. Le départ de Malte n’implique aucune obligation d’aliénation des immeubles acquis à titre de résidence principale. b. Les ressortissants suisses qui acquièrent des immeubles dans des zones spécialement désignées par la loi (généralement, des zones faisant partie de projets de régénération urbaine) ne doivent pas obtenir d’autorisation pour ces acquisitions, qui ne sont soumises à aucune limitation en ce qui concerne leur nombre, leur usage ou leur valeur.</w:t>
      </w:r>
    </w:p>
    <w:p>
      <w:r>
        <w:rPr>
          <w:b/>
        </w:rPr>
        <w:t>E. 8</w:t>
      </w:r>
    </w:p>
    <w:p>
      <w:r>
        <w:t>Pologne a. La Pologne peut maintenir en vigueur pendant cinq ans à compter de son adhési- on à l’UE sa législation en vigueur à la date de signature du présent protocole con- cernant l’acquisition de résidences secondaires. Selon cette législation, un ressortis- sant suisse doit satisfaire aux exigences prévues dans la loi du 24 mars 1920 sur l’acquisition d’immeubles par des étrangers (Dz.U. 1996, Nr 54, poz. 245 et modi- fications), modifiée. b. Les ressortissants suisses qui ont résidé légalement en Pologne pendant quatre années sans interruption ne sont pas soumis, en ce qui concerne l’acquisition de résidences secondaires, aux dispositions du point c ni à des procédures autres que celles auxquelles sont soumis les ressortissants de la République de Pologne.</w:t>
      </w:r>
    </w:p>
    <w:p>
      <w:r>
        <w:t>Libre circulation des personnes. Protocole</w:t>
      </w:r>
    </w:p>
    <w:p>
      <w:r>
        <w:t>5585 c. La Pologne peut maintenir en vigueur pendant douze ans à compter de son adhé- sion à l’UE sa législation concernant l’acquisition de terres agricoles et de forêts. Un ressortissant suisse ou une personne morale constituée conformément à la législation suisse ne peut en aucun cas être traité, en ce qui concerne l’acquisition de terres agricoles et de forêts, moins favorablement qu’à la date de signature du présent protocole. Selon cette législation, un ressortissant suisse doit satisfaire aux exigences prévues dans la loi du 24 mars 1920 sur l’acquisition d’immeubles par des étrangers ((Dz.U. 1996, Nr 54, poz. 245 et modifications), modifiée. d. Les ressortissants suisses qui souhaitent s’établir comme agriculteurs indé- pendants en Pologne et qui y ont légalement résidé et loué des terres en tant que personnes physiques ou morales pendant au moins trois années sans interruption ne sont pas soumis aux dispositions du point c) ni à des procédures autres que celles auxquelles sont soumis les ressortissants de la République de Pologne en ce qui concerne l’acquisition de terres agricoles et de forêts à compter de l’adhésion à l’UE. Dans les régions de Warminsko-Mazurskie, Pomorskie, Kujawsko-Pomorskie, Zachodniopomorskie, Lubuskie, Dolnoślasskie, Opolskie et Wielkopolskie, la période de résidence et de location indiquée dans la phrase précédente est portée à sept années. La période de location précédant l’acquisition de terres est calculée individuellement pour chaque ressortissant suisse qui a loué des terres en Pologne à compter de la date certifiée du contrat de location original. Les agriculteurs indépen- dants qui ont loué des terres non pas en tant que personnes physiques mais en tant que personnes morales peuvent transférer les droits des personnes morales en vertu du contrat de location à eux-mêmes en tant que personnes physiques. Pour calculer la période de location précédant le droit d’acquisition, la période de location en tant que personnes morales est comptée. Les contrats de location par des personnes physiques peuvent être fournis avec une date certifiée rétroactivement et la période de location entière des contrats certifiés est comptée. Le droit des agriculteurs indé- pendants de transformer leur contrat de location actuel en contrat conclu en tant que personnes physiques ou en contrat écrit portant une date certifiée n’est soumis à aucune limite de temps. La procédure de transformation des contrats de location est transparente et ne constitue en aucun cas un nouvel obstacle. e. Ces mesures transitoires font l’objet d’un réexamen général dans le courant de la troisième année suivant l’adhésion de la République de Pologne à l’UE. À cet effet, la Commission soumet un rapport au comité mixte. Le comité mixte peut décider de raccourcir ou de clôturer la période transitoire prévue au point a. f. Pendant la période transitoire, la Pologne applique une procédure d’autorisation prévue par la loi qui assure que l’octroi de l’autorisation pour l’acquisition d’immeubles en Pologne est fondée sur des critères transparents, objectifs, stables et publics. Ces critères sont appliqués de manière non discriminatoire.</w:t>
      </w:r>
    </w:p>
    <w:p>
      <w:r>
        <w:rPr>
          <w:b/>
        </w:rPr>
        <w:t>E. 9</w:t>
      </w:r>
    </w:p>
    <w:p>
      <w:r>
        <w:t>Slovénie a. Si, jusqu’à la fin d’une période de sept ans maximum après l’adhésion de la Slovénie à l’UE, des difficultés surviennent, qui sont graves et qui menacent de persister sur le marché immobilier ou qui pourraient entraîner une grave détério- ration du marché immobilier d’une région donnée, la Slovénie peut demander</w:t>
      </w:r>
    </w:p>
    <w:p>
      <w:r>
        <w:t>Libre circulation des personnes. Protocole</w:t>
      </w:r>
    </w:p>
    <w:p>
      <w:r>
        <w:t>5586 l’autorisation de prendre des mesures de protection pour redresser la situation sur ce marché. b. À la demande de la Slovénie, le comité mixte détermine d’urgence les mesures de protection qu’il considère comme nécessaires, en précisant les conditions et moda- lités de leur mise en œuvre. c. En cas de graves difficultés sur le marché immobilier et à la demande expresse de la Slovénie, le comité mixte agit dans les cinq jours ouvrables suivant la réception de la demande accompagnée des informations nécessaires. Les mesures ainsi décidées sont immédiatement applicables et tiennent compte des intérêts de toutes les parties concernées. d. Les mesures autorisées en vertu du point b peuvent déroger aux règles du présent accord dans la mesure et pour la durée strictement nécessaires pour atteindre les objectifs visés au point a.</w:t>
      </w:r>
    </w:p>
    <w:p>
      <w:r>
        <w:rPr>
          <w:b/>
        </w:rPr>
        <w:t>E. 10</w:t>
      </w:r>
    </w:p>
    <w:p>
      <w:r>
        <w:t>385 L 0433: Directive 85/433/CEE du Conseil, du 16 septembre 1985, visant à la reconnaissance mutuelle des diplômes, certificats et autres titres en pharmacie, et comportant des mesures destinées à faciliter l’exercice effectif du droit d’établissement pour certaines activités du domaine de la pharmacie (JO L 253 du 24.9.1985, p. 37). D. Architecture</w:t>
      </w:r>
    </w:p>
    <w:p>
      <w:r>
        <w:rPr>
          <w:b/>
        </w:rPr>
        <w:t>E. 11</w:t>
      </w:r>
    </w:p>
    <w:p>
      <w:r>
        <w:t>385 L 0384: Directive 85/384/CEE du Conseil, du 10 juin 1985, visant à la reconnaissance mutuelle des diplômes, certificats et autres titres du domaine de l’architecture et comportant des mesures destinées à faciliter l’exercice effectif du droit d’établissement et de libre prestation de services (JO L 223 du 21.8.1985, p. 15).</w:t>
      </w:r>
    </w:p>
    <w:p>
      <w:r>
        <w:t>Libre circulation des personnes. Protocole</w:t>
      </w:r>
    </w:p>
    <w:p>
      <w:r>
        <w:t>5592 E. Commerce et distribution de produits toxiques</w:t>
      </w:r>
    </w:p>
    <w:p>
      <w:r>
        <w:rPr>
          <w:b/>
        </w:rPr>
        <w:t>E. 12</w:t>
      </w:r>
    </w:p>
    <w:p>
      <w:r>
        <w:t>374 L 0557: Directive 74/557/CEE du Conseil, du 4 juin 1974, concernant la réalisation de la liberté d’établissement et la libre prestation des services pour les activités non salariées et les activités d’intermédiaires relevant du commerce et de la distribution des produits toxiques (JO L 307 du 18.11.1974, p. 5). Déclaration de la Suisse concernant la reconnaissance des diplômes de sage-femme et d’infirmier responsable des soins généraux La Suisse se réserve le droit de reconnaître les titulaires de diplômes de sage-femme et d’infirmier responsable des soins généraux relevant des art. 4ter et 4quater de la directive 77/452/CEE et des art. 5bis et 5ter de la directive 80/154/CEE sur les droits acquis uniquement après vérification de la conformité de leurs qualifications avec les directives 77/453/CEE et 80/155/CEE. À cette fin, la Suisse peut exiger le passage d’un test d’aptitude ou une periode d’essai. Déclaration de la Suisse sur les mesures autonomes à la date de la signature La Suisse donne provisoirement accès à son marché de l’emploi aux citoyens des nouveaux États membres, sur la base de sa législation, avant l’entrée en vigueur des dispositions provisoires contenues dans le protocole. À cette fin, la Suisse ouvrira des contingents spécifiques pour des permis de travail de courte durée, ainsi que de longue durée, au sens de l’art. 10, par. 1, de l’accord principal, en faveur de citoyens des nouveaux États membres, à compter de la date de signature du protocole. Ces contingents sont de 700 permis de longue durée et de 2 500 permis de courte durée par an. De plus, 5000 travailleurs de courte durée par an sont admis pour un séjour inférieur à quatre mois. Déclaration de la Pologne concernant la reconnaissance des diplômes de sage-femme et d’infirmier responsable des soins généraux La Pologne a pris note de la déclaration de la Suisse concernant la reconnaissance des diplômes d’infirmier responsable des soins généraux et de sage-femme mais attend résolument de la Suisse qu’elle adhère pleinement à l’article 4bis de la direc- tive 77/452/CEE et à l’article 5 bis de la directive 80/154/CEE, conformément à la formulation du jour de la prise d’effet du protocole à l’accord entre la Communauté européenne et ses États membres, d’une part, et la Confédération suisse, d’autre part, sur la libre circulation des personnes, à la suite de l’élargissement de l’Union euro- péenne.</w:t>
      </w:r>
    </w:p>
    <w:p>
      <w:r>
        <w:t>Schweizerisches Bundesarchiv, Digitale Amtsdruckschriften Archives fédérales suisses, Publications officielles numérisées Archivio federale svizzero, Pubblicazioni ufficiali digitali Protocole à l'accord entre la Confédération suisse, d'une part, et la Communauté européenne et ses Etats membres, d'autre part, sur la libre circulation des personnes, concernant la participation, en tant que parties contractantes, de la République t... In Bundesblatt Dans Feuille fédérale In Foglio federale Jahr 2004 Année Anno Band 1 Volume Volume Heft 44 Cahier Numero Geschäftsnummer --- Numéro d'affaire Numero dell'oggetto Datum 09.11.2004 Date Data Seite 5573-5592 Page Pagina Ref. No 10 138 108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