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2004-1736 4443 vom 24. Mai 1978</w:t>
      </w:r>
    </w:p>
    <w:p>
      <w:r>
        <w:t>Bundesverwaltung, 1978-05-24, DE</w:t>
      </w:r>
    </w:p>
    <w:p>
      <w:r>
        <w:rPr>
          <w:b/>
        </w:rPr>
        <w:t xml:space="preserve">Quelle: </w:t>
      </w:r>
      <w:r>
        <w:t>https://mcp.opencaselaw.ch/entscheid/ch_vb_2004-1736_4443_</w:t>
      </w:r>
    </w:p>
    <w:p>
      <w:r>
        <w:t>FR: CH_VB 2004-1736 4443 du 24 mai 1978</w:t>
      </w:r>
    </w:p>
    <w:p>
      <w:r>
        <w:t>IT: CH_VB 2004-1736 4443 del 24 maggio 1978</w:t>
      </w:r>
    </w:p>
    <w:p>
      <w:pPr>
        <w:pStyle w:val="Heading2"/>
      </w:pPr>
      <w:r>
        <w:t>Erwägungen</w:t>
      </w:r>
    </w:p>
    <w:p>
      <w:r>
        <w:rPr>
          <w:b/>
        </w:rPr>
        <w:t>E. 1</w:t>
      </w:r>
    </w:p>
    <w:p>
      <w:r>
        <w:t>La liste de signatures à l’appui de l’initiative populaire fédérale «pour l’imprescriptibilité des actes de pornographie enfantine», présentée le 3 août 2004, satisfait, quant à la forme, aux exigences de la loi; elle contient les indications suivantes: le canton et la commune politique où le signataire a le droit de vote, le titre et le texte de l’initiative ainsi que la date de sa publica- tion dans la Feuille fédérale, une clause de retrait sans réserve, la mention selon laquelle quiconque se rend coupable de corruption active ou passive relativement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prononcera sur la validité de l’initiative que lorsque celle-ci aura abouti.</w:t>
      </w:r>
    </w:p>
    <w:p>
      <w:r>
        <w:rPr>
          <w:b/>
        </w:rPr>
        <w:t>E. 2</w:t>
      </w:r>
    </w:p>
    <w:p>
      <w:r>
        <w:t>L’initiative populaire peut être retirée sans réserve par une décision prise à la majorité absolue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