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2004-1675 5589 vom 23. Juni 2006</w:t>
      </w:r>
    </w:p>
    <w:p>
      <w:r>
        <w:t>Bundesverwaltung, 2006-06-23, DE</w:t>
      </w:r>
    </w:p>
    <w:p>
      <w:r>
        <w:rPr>
          <w:b/>
        </w:rPr>
        <w:t xml:space="preserve">Quelle: </w:t>
      </w:r>
      <w:r>
        <w:t>https://mcp.opencaselaw.ch/entscheid/ch_vb_2004-1675_5589_</w:t>
      </w:r>
    </w:p>
    <w:p>
      <w:r>
        <w:t>FR: CH_VB 2004-1675 5589 du 23 juin 2006</w:t>
      </w:r>
    </w:p>
    <w:p>
      <w:r>
        <w:t>IT: CH_VB 2004-1675 5589 del 23 giugno 2006</w:t>
      </w:r>
    </w:p>
    <w:p>
      <w:pPr>
        <w:pStyle w:val="Heading2"/>
      </w:pPr>
      <w:r>
        <w:t>Erwägungen</w:t>
      </w:r>
    </w:p>
    <w:p>
      <w:r>
        <w:rPr>
          <w:b/>
        </w:rPr>
        <w:t>E. 1</w:t>
      </w:r>
    </w:p>
    <w:p>
      <w:r>
        <w:t>La présente loi est sujette au référendum.</w:t>
      </w:r>
    </w:p>
    <w:p>
      <w:r>
        <w:rPr>
          <w:b/>
        </w:rPr>
        <w:t>E. 2</w:t>
      </w:r>
    </w:p>
    <w:p>
      <w:r>
        <w:t>RS 822.11</w:t>
      </w:r>
    </w:p>
    <w:p>
      <w:r>
        <w:rPr>
          <w:b/>
        </w:rPr>
        <w:t>E. 3</w:t>
      </w:r>
    </w:p>
    <w:p>
      <w:r>
        <w:t>FF 2006 5589</w:t>
      </w:r>
    </w:p>
    <w:p>
      <w:r>
        <w:t>Loi sur le travail</w:t>
      </w:r>
    </w:p>
    <w:p>
      <w:r>
        <w:t>5590</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In Bundesblatt Dans Feuille fédérale In Foglio federale Jahr 2006 Année Anno Band 1 Volume Volume Heft 26 Cahier Numero Geschäftsnummer --- Numéro d'affaire Numero dell'oggetto Datum 04.07.2006 Date Data Seite 5589-5590 Page Pagina Ref. No 10 139 721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