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2004-1025 2627 vom 2. Juni 2004</w:t>
      </w:r>
    </w:p>
    <w:p>
      <w:r>
        <w:t>Bundesverwaltung, 2004-06-02, DE</w:t>
      </w:r>
    </w:p>
    <w:p>
      <w:r>
        <w:rPr>
          <w:b/>
        </w:rPr>
        <w:t xml:space="preserve">Quelle: </w:t>
      </w:r>
      <w:r>
        <w:t>https://mcp.opencaselaw.ch/entscheid/ch_vb_2004-1025_2627_</w:t>
      </w:r>
    </w:p>
    <w:p>
      <w:r>
        <w:t>FR: CH_VB 2004-1025 2627 du 2 juin 2004</w:t>
      </w:r>
    </w:p>
    <w:p>
      <w:r>
        <w:t>IT: CH_VB 2004-1025 2627 del 2 giugno 2004</w:t>
      </w:r>
    </w:p>
    <w:p>
      <w:pPr>
        <w:pStyle w:val="Heading2"/>
      </w:pPr>
      <w:r>
        <w:t>Erwägungen</w:t>
      </w:r>
    </w:p>
    <w:p>
      <w:r>
        <w:rPr>
          <w:b/>
        </w:rPr>
        <w:t>E. 2</w:t>
      </w:r>
    </w:p>
    <w:p>
      <w:r>
        <w:t>FF 2002 5613–5615</w:t>
      </w:r>
    </w:p>
    <w:p>
      <w:r>
        <w:rPr>
          <w:b/>
        </w:rPr>
        <w:t>E. 3</w:t>
      </w:r>
    </w:p>
    <w:p>
      <w:r>
        <w:t>FF 2003 2859</w:t>
      </w:r>
    </w:p>
    <w:p>
      <w:r>
        <w:t>Convention collective de travail pour l’industrie de la peinture et de la plâtrerie. ACF 2628</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pour l'industrie de la peinture et de la plâtrerie In Bundesblatt Dans Feuille fédérale In Foglio federale Jahr 2004 Année Anno Band 1 Volume Volume Heft 22 Cahier Numero Geschäftsnummer --- Numéro d'affaire Numero dell'oggetto Datum 08.06.2004 Date Data Seite 2627-2628 Page Pagina Ref. No 10 137 673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