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2004-0857 6389 vom 22. November 2005</w:t>
      </w:r>
    </w:p>
    <w:p>
      <w:r>
        <w:t>Bundesverwaltung, 2005-11-22, DE</w:t>
      </w:r>
    </w:p>
    <w:p>
      <w:r>
        <w:rPr>
          <w:b/>
        </w:rPr>
        <w:t xml:space="preserve">Quelle: </w:t>
      </w:r>
      <w:r>
        <w:t>https://mcp.opencaselaw.ch/entscheid/ch_vb_2004-0857_6389_</w:t>
      </w:r>
    </w:p>
    <w:p>
      <w:r>
        <w:t>FR: CH_VB 2004-0857 6389 du 22 novembre 2005</w:t>
      </w:r>
    </w:p>
    <w:p>
      <w:r>
        <w:t>IT: CH_VB 2004-0857 6389 del 22 novembre 2005</w:t>
      </w:r>
    </w:p>
    <w:p>
      <w:pPr>
        <w:pStyle w:val="Heading2"/>
      </w:pPr>
      <w:r>
        <w:t>Erwägungen</w:t>
      </w:r>
    </w:p>
    <w:p>
      <w:r>
        <w:rPr>
          <w:b/>
        </w:rPr>
        <w:t>E. 1</w:t>
      </w:r>
    </w:p>
    <w:p>
      <w:r>
        <w:t>Le présent Protocole complète la Convention des Nations Unies contre la crimi- nalité transnationale organisée. Il est interprété conjointement avec la Convention.</w:t>
      </w:r>
    </w:p>
    <w:p>
      <w:r>
        <w:rPr>
          <w:b/>
        </w:rPr>
        <w:t>E. 2</w:t>
      </w:r>
    </w:p>
    <w:p>
      <w:r>
        <w:t>Les dispositions de la Convention s’appliquent mutatis mutandis au présent Pro- tocole, sauf disposition contraire dudit Protocole.</w:t>
      </w:r>
    </w:p>
    <w:p>
      <w:r>
        <w:rPr>
          <w:b/>
        </w:rPr>
        <w:t>E. 3</w:t>
      </w:r>
    </w:p>
    <w:p>
      <w:r>
        <w:t>Chaque Etat Partie adopte les mesures législatives et autres nécessaires pour conférer le caractère de circonstance aggravante des infractions établies confor- mément aux al. a, b i) et c du par. 1 du présent article et, sous réserve des concepts fondamentaux de son système juridique, des infractions établies conformément aux al. b et c du par. 2 du présent article: a) Au fait de mettre en danger ou de risquer de mettre en danger la vie ou la sécurité des migrants concernés; ou b) Au traitement inhumain ou dégradant de ces migrants, y compris pour l’exploitation.</w:t>
      </w:r>
    </w:p>
    <w:p>
      <w:r>
        <w:rPr>
          <w:b/>
        </w:rPr>
        <w:t>E. 4</w:t>
      </w:r>
    </w:p>
    <w:p>
      <w:r>
        <w:t>Un Etat Partie répond sans retard à une demande que lui adresse un autre Etat Partie en vue de déterminer si un navire qui se prévaut de l’immatriculation sur son registre ou qui bat son pavillon y est habilité, ainsi qu’à une demande d’autorisation présentée conformément au par. 2 du présent article.</w:t>
      </w:r>
    </w:p>
    <w:p>
      <w:r>
        <w:rPr>
          <w:b/>
        </w:rPr>
        <w:t>E. 5</w:t>
      </w:r>
    </w:p>
    <w:p>
      <w:r>
        <w:t>Un Etat du pavillon peut, dans la mesure compatible avec l’art. 7 du présent Protocole, subordonner son autorisation à des conditions arrêtées d’un commun accord entre lui et l’Etat requérant, notamment en ce qui concerne la responsabilité et la portée des mesures effectives à prendre. Un Etat Partie ne prend aucune mesure supplémentaire sans l’autorisation expresse de l’Etat du pavillon, à l’exception de celles qui sont nécessaires pour écarter un danger imminent pour la vie des person- nes ou de celles qui résultent d’accords bilatéraux ou multilatéraux pertinents.</w:t>
      </w:r>
    </w:p>
    <w:p>
      <w:r>
        <w:rPr>
          <w:b/>
        </w:rPr>
        <w:t>E. 6</w:t>
      </w:r>
    </w:p>
    <w:p>
      <w:r>
        <w:t>Chaque Etat Partie désigne une ou, s’il y a lieu, plusieurs autorités habilitées à recevoir les demandes d’assistance, de confirmation de l’immatriculation sur son registre ou du droit de battre son pavillon, ainsi que les demandes d’autorisation de prendre les mesures appropriées et à y répondre. Le Secrétaire général notifie à tous les autres Etats Parties l’autorité désignée par chacun d’eux dans le mois qui suit cette désignation.</w:t>
      </w:r>
    </w:p>
    <w:p>
      <w:r>
        <w:rPr>
          <w:b/>
        </w:rPr>
        <w:t>E. 7</w:t>
      </w:r>
    </w:p>
    <w:p>
      <w:r>
        <w:t>Le présent article s’entend sans préjudice de tout droit accordé par toute loi de l’Etat Partie d’accueil aux personnes qui ont été l’objet d’un acte énoncé à l’art. 6 du présent Protocole.</w:t>
      </w:r>
    </w:p>
    <w:p>
      <w:r>
        <w:rPr>
          <w:b/>
        </w:rPr>
        <w:t>E. 8</w:t>
      </w:r>
    </w:p>
    <w:p>
      <w:r>
        <w:t>Le présent article n’a pas d’incidences sur les obligations contractées en vertu de tout autre traité bilatéral ou multilatéral applicable ou de tout autre accord ou arran- gement opérationnel applicable régissant, en totalité ou en partie, le retour des personnes qui ont été l’objet d’un acte énoncé à l’art. 6 du présent Protocole. IV. Dispositions finales Art. 19 Clause de sauvegarde 1. Aucune disposition du présent Protocole n’a d’incidences sur les autres droits, obligations et responsabilités des Etats et des particuliers en vertu du droit interna- tional, y compris du droit international humanitaire et du droit international relatif aux droits de l’homme et en particulier, lorsqu’ils s’appliquent, de la Convention de 1951 et du Protocole de 1967 relatifs au statut des réfugiés ainsi que du principe de non-refoulement qui y est énoncé. 2. Les mesures énoncées dans le présent Protocole sont interprétées et appliquées d’une façon telle que les personnes ne font pas l’objet d’une discrimination au motif qu’elles sont l’objet des actes énoncés à l’art. 6 du présent Protocole. L’interpré- tation et l’application de ces mesures sont conformes aux principes de non-discri- mination internationalement reconnus.</w:t>
      </w:r>
    </w:p>
    <w:p>
      <w:r>
        <w:t>Criminalité transnationale organisée</w:t>
      </w:r>
    </w:p>
    <w:p>
      <w:r>
        <w:t>6399 Art. 20 Règlement des différends 1. Les Etats Parties s’efforcent de régler les différends concernant l’interprétation ou l’application du présent Protocole par voie de négociation. 2. Tout différend entre deux Etats Parties ou plus concernant l’interprétation ou l’application du présent Protocole qui ne peut être réglé par voie de négociation dans un délai raisonnable est, à la demande de l’un de ces Etats Parties, soumis à l’arbitrage. Si, dans un délai de six mois à compter de la date de la demande d’arbitrage, les Etats Parties ne peuvent s’entendre sur l’organisation de l’arbitrage, l’un quelconque d’entre eux peut soumettre le différend à la Cour internationale de Justice en adressant une requête conformément au Statut de la Cour. 3. Chaque Etat Partie peut, au moment de la signature, de la ratification, de l’acceptation ou de l’approbation du présent Protocole ou de l’adhésion à celui-ci, déclarer qu’il ne se considère pas lié par le par. 2 du présent article. Les autres Etats Parties ne sont pas liés par le par. 2 du présent article envers tout Etat Partie ayant émis une telle réserve. 4. Tout Etat Partie qui a émis une réserve en vertu du par. 3 du présent article peut la retirer à tout moment en adressant une notification au Secrétaire général de l’Organisation des Nations Unies. Art. 21 Signature, ratification, acceptation, approbation et adhésion 1. Le présent Protocole sera ouvert à la signature de tous les Etats du 12 au 15 décembre 2000 à Palerme (Italie) et, par la suite, au Siège de l’Organisation des Nations Unies, à New York, jusqu’au 12 décembre 2002. 2. Le présent Protocole est également ouvert à la signature des organisations régio- nales d’intégration économique à la condition qu’au moins un Etat membre d’une telle organisation ait signé le présent Protocole conformément au par. 1 du présent article. 3. Le présent Protocole est soumis à ratification, acceptation ou approbation. Les instruments de ratification, d’acceptation ou d’approbation seront déposés auprès du Secrétaire général de l’Organisation des Nations Unies. Une organisation régionale d’intégration économique peut déposer ses instruments de ratification, d’acceptation ou d’approbation si au moins un de ses Etats membres l’a fait. Dans cet instrument de ratification, d’acceptation ou d’approbation, cette organisation déclare l’étendue de sa compétence concernant les questions régies par le présent Protocole. Elle informe également le dépositaire de toute modification pertinente de l’étendue de sa compétence. 4. Le présent Protocole est ouvert à l’adhésion de tout Etat ou de toute organisation régionale d’intégration économique dont au moins un Etat membre est Partie au présent Protocole. Les instruments d’adhésion sont déposés auprès du Secrétaire général de l’Organisation des Nations Unies. Au moment de son adhésion, une organisation régionale d’intégration économique déclare l’étendue de sa compétence concernant les questions régies par le présent Protocole. Elle informe également le dépositaire de toute modification pertinente de l’étendue de sa compétence.</w:t>
      </w:r>
    </w:p>
    <w:p>
      <w:r>
        <w:t>Criminalité transnationale organisée</w:t>
      </w:r>
    </w:p>
    <w:p>
      <w:r>
        <w:t>6400 Art. 22 Entrée en vigueur 1. Le présent Protocole entrera en vigueur le quatre-vingt-dixième jour suivant la date de dépôt du quarantième instrument de ratification, d’acceptation, d’appro- bation ou d’adhésion, étant entendu qu’il n’entrera pas en vigueur avant que la Convention n’entre elle-même en vigueur. Aux fins du présent paragraphe, aucun des instruments déposés par une organisation régionale d’intégration économique n’est considéré comme un instrument venant s’ajouter aux instruments déjà déposés par les Etats membres de cette organisation. 2. Pour chaque Etat ou organisation régionale d’intégration économique qui ratifie- ra, acceptera ou approuvera le présent Protocole ou y adhérera après le dépôt du quarantième instrument pertinent, le présent Protocole entrera en vigueur le tren- tième jour suivant la date de dépôt de l’instrument pertinent par ledit Etat ou ladite organisation ou à la date à laquelle il entre en vigueur en application du par. 1 du présent article, si celle-ci est postérieure. Art. 23 Amendement 1. A l’expiration d’un délai de cinq ans à compter de l’entrée en vigueur du présent Protocole, un Etat Partie au Protocole peut proposer un amendement et en déposer le texte auprès du Secrétaire général de l’Organisation des Nations Unies. Ce dernier communique alors la proposition d’amendement aux Etats Parties et à la Conférence des Parties à la Convention en vue de l’examen de la proposition et de l’adoption d’une décision. Les Etats Parties au présent Protocole réunis en Conférence des Parties n’épargnent aucun effort pour parvenir à un consensus sur tout amendement. Si tous les efforts en ce sens ont été épuisés sans qu’un accord soit intervenu, il faudra, en dernier recours, pour que l’amendement soit adopté, un vote à la majorité des deux tiers des Etats Parties au présent Protocole présents à la Conférence des Parties et exprimant leur vote. 2. Les organisations régionales d’intégration économique disposent, pour exercer, en vertu du présent article, leur droit de vote dans les domaines qui relèvent de leur compétence, d’un nombre de voix égal au nombre de leurs Etats membres Parties au présent Protocole. Elles n’exercent pas leur droit de vote si leurs Etats membres exercent le leur, et inversement. 3. Un amendement adopté conformément au par. 1 du présent article est soumis à ratification, acceptation ou approbation des Etats Parties. 4. Un amendement adopté conformément au par. 1 du présent article entrera en vigueur pour un Etat Partie quatre-vingt-dix jours après la date de dépôt par ledit Etat Partie auprès du Secrétaire général de l’Organisation des Nations Unies d’un instrument de ratification, d’acceptation ou d’approbation dudit amendement. 5. Un amendement entré en vigueur a force obligatoire à l’égard des Etats Parties qui ont exprimé leur consentement à être liés par lui. Les autres Etats Parties restent liés par les dispositions du présent Protocole et tous amendements antérieurs qu’ils ont ratifiés, acceptés ou approuvés.</w:t>
      </w:r>
    </w:p>
    <w:p>
      <w:r>
        <w:t>Criminalité transnationale organisée</w:t>
      </w:r>
    </w:p>
    <w:p>
      <w:r>
        <w:t>6401 Art. 24 Dénonciation 1. Un Etat Partie peut dénoncer le présent Protocole par notification écrite adressée au Secrétaire général de l’Organisation des Nations Unies. Une telle dénonciation prend effet un an après la date de réception de la notification par le Secrétaire géné- ral. 2. Une organisation régionale d’intégration économique cesse d’être Partie au pré- sent Protocole lorsque tous ses Etats membres l’ont dénoncé. Art. 25 Dépositaire et langues 1. Le Secrétaire général de l’Organisation des Nations Unies est le dépositaire du présent Protocole. 2. L’original du présent Protocole, dont les textes anglais, arabe, chinois, espagnol, français et russe font également foi, sera déposé auprès du Secrétaire général de l’Organisation des Nations Unies. En foi de quoi, les plénipotentiaires soussignés, à ce dûment autorisés par leurs gouvernements respectifs, ont signé le présent Protocole.</w:t>
      </w:r>
    </w:p>
    <w:p>
      <w:r>
        <w:t>Criminalité transnationale organisée</w:t>
      </w:r>
    </w:p>
    <w:p>
      <w:r>
        <w:t>6402</w:t>
      </w:r>
    </w:p>
    <w:p>
      <w:r>
        <w:t>Schweizerisches Bundesarchiv, Digitale Amtsdruckschriften Archives fédérales suisses, Publications officielles numérisées Archivio federale svizzero, Pubblicazioni ufficiali digitali Protocole contre le trafic illicite de migrants par terre, air et mer, additionnel à la Convention des Nations Unies contre la criminalité transnationale organisée In Bundesblatt Dans Feuille fédérale In Foglio federale Jahr 2005 Année Anno Band 1 Volume Volume Heft 46 Cahier Numero Geschäftsnummer --- Numéro d'affaire Numero dell'oggetto Datum 22.11.2005 Date Data Seite 6389-6402 Page Pagina Ref. No</w:t>
      </w:r>
    </w:p>
    <w:p>
      <w:r>
        <w:rPr>
          <w:b/>
        </w:rPr>
        <w:t>E. 10</w:t>
      </w:r>
    </w:p>
    <w:p>
      <w:r>
        <w:t>139 074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