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2004-0856 6379 vom 22. November 2005</w:t>
      </w:r>
    </w:p>
    <w:p>
      <w:r>
        <w:t>Bundesverwaltung, 2005-11-22, DE</w:t>
      </w:r>
    </w:p>
    <w:p>
      <w:r>
        <w:rPr>
          <w:b/>
        </w:rPr>
        <w:t xml:space="preserve">Quelle: </w:t>
      </w:r>
      <w:r>
        <w:t>https://mcp.opencaselaw.ch/entscheid/ch_vb_2004-0856_6379_</w:t>
      </w:r>
    </w:p>
    <w:p>
      <w:r>
        <w:t>FR: CH_VB 2004-0856 6379 du 22 novembre 2005</w:t>
      </w:r>
    </w:p>
    <w:p>
      <w:r>
        <w:t>IT: CH_VB 2004-0856 6379 del 22 novembre 2005</w:t>
      </w:r>
    </w:p>
    <w:p>
      <w:pPr>
        <w:pStyle w:val="Heading2"/>
      </w:pPr>
      <w:r>
        <w:t>Erwägungen</w:t>
      </w:r>
    </w:p>
    <w:p>
      <w:r>
        <w:rPr>
          <w:b/>
        </w:rPr>
        <w:t>E. 1</w:t>
      </w:r>
    </w:p>
    <w:p>
      <w:r>
        <w:t>Le présent Protocole complète la Convention des Nations Unies contre la crimi- nalité transnationale organisée. Il est interprété conjointement avec la Convention.</w:t>
      </w:r>
    </w:p>
    <w:p>
      <w:r>
        <w:rPr>
          <w:b/>
        </w:rPr>
        <w:t>E. 2</w:t>
      </w:r>
    </w:p>
    <w:p>
      <w:r>
        <w:t>Les dispositions de la Convention s’appliquent mutatis mutandis au présent Protocole, sauf disposition contraire dudit Protocole.</w:t>
      </w:r>
    </w:p>
    <w:p>
      <w:r>
        <w:rPr>
          <w:b/>
        </w:rPr>
        <w:t>E. 3</w:t>
      </w:r>
    </w:p>
    <w:p>
      <w:r>
        <w:t>Chaque Etat Partie envisage de mettre en œuvre des mesures en vue d’assurer le rétablissement physique, psychologique et social des victimes de la traite des per- sonnes, y compris, s’il y a lieu, en coopération avec les organisations non gou-</w:t>
      </w:r>
    </w:p>
    <w:p>
      <w:r>
        <w:t>Criminalité transnationale organisée</w:t>
      </w:r>
    </w:p>
    <w:p>
      <w:r>
        <w:t>6382 vernementales, d’autres organisations compétentes et d’autres éléments de la société civile et, en particulier, de leur fournir: a) Un logement convenable; b) Des conseils et des informations, concernant notamment les droits que la loi leur reconnaît, dans une langue qu’elles peuvent comprendre; c) Une assistance médicale, psychologique et matérielle; et d) Des possibilités d’emploi, d’éducation et de formation.</w:t>
      </w:r>
    </w:p>
    <w:p>
      <w:r>
        <w:rPr>
          <w:b/>
        </w:rPr>
        <w:t>E. 4</w:t>
      </w:r>
    </w:p>
    <w:p>
      <w:r>
        <w:t>Chaque Etat Partie tient compte, lorsqu’il applique les dispositions du présent article, de l’âge, du sexe et des besoins spécifiques des victimes de la traite des personnes, en particulier des besoins spécifiques des enfants, notamment un loge- ment, une éducation et des soins convenables.</w:t>
      </w:r>
    </w:p>
    <w:p>
      <w:r>
        <w:rPr>
          <w:b/>
        </w:rPr>
        <w:t>E. 5</w:t>
      </w:r>
    </w:p>
    <w:p>
      <w:r>
        <w:t>Chaque Etat Partie s’efforce d’assurer la sécurité physique des victimes de la traite des personnes pendant qu’elles se trouvent sur son territoire.</w:t>
      </w:r>
    </w:p>
    <w:p>
      <w:r>
        <w:rPr>
          <w:b/>
        </w:rPr>
        <w:t>E. 6</w:t>
      </w:r>
    </w:p>
    <w:p>
      <w:r>
        <w:t>Sans préjudice de l’art. 27 de la Convention, les Etats Parties envisagent de renforcer la coopération entre leurs services de contrôle aux frontières, notamment par l’établissement et le maintien de voies de communication directes. Art. 12 Sécurité et contrôle des documents Chaque Etat Partie prend les mesures nécessaires, selon les moyens disponibles: a) Pour faire en sorte que les documents de voyage ou d’identité qu’il délivre soient d’une qualité telle qu’on ne puisse facilement en faire un usage impropre et les falsifier ou les modifier, les reproduire ou les délivrer illici- tement; et b) Pour assurer l’intégrité et la sécurité des documents de voyage ou d’identité délivrés par lui ou en son nom et pour empêcher qu’ils ne soient créés, déli- vrés et utilisés illicitement. Art. 13 Légitimité et validité des documents A la demande d’un autre Etat Partie, un Etat Partie vérifie, conformément à son droit interne et dans un délai raisonnable, la légitimité et la validité des documents de voyage ou d’identité délivrés ou censés avoir été délivrés en son nom et dont on soupçonne qu’ils sont utilisés pour la traite des personnes. IV. Dispositions finales Art. 14 Clause de sauvegarde 1. Aucune disposition du présent Protocole n’a d’incidences sur les droits, obli- gations et responsabilités des Etats et des particuliers en vertu du droit international, y compris du droit international humanitaire et du droit international relatif aux droits de l’homme et en particulier, lorsqu’ils s’appliquent, de la Convention de 1951 et du Protocole de 1967 relatifs au statut des réfugiés ainsi que du principe de non-refoulement qui y est énoncé. 2. Les mesures énoncées dans le présent Protocole sont interprétées et appliquées d’une façon telle que les personnes ne font pas l’objet d’une discrimination au motif qu’elles sont victimes d’une traite. L’interprétation et l’application de ces mesures sont conformes aux principes de non-discrimination internationalement reconnus.</w:t>
      </w:r>
    </w:p>
    <w:p>
      <w:r>
        <w:t>Criminalité transnationale organisée</w:t>
      </w:r>
    </w:p>
    <w:p>
      <w:r>
        <w:t>6386 Art. 15 Règlement des différends 1. Les Etats Parties s’efforcent de régler les différends concernant l’interprétation ou l’application du présent Protocole par voie de négociation. 2. Tout différend entre deux Etats Parties ou plus concernant l’interprétation ou l’application du présent Protocole qui ne peut être réglé par voie de négociation dans un délai raisonnable est, à la demande de l’un de ces Etats Parties, soumis à l’arbi- trage. Si, dans un délai de six mois à compter de la date de la demande d’arbitrage, les Etats Parties ne peuvent s’entendre sur l’organisation de l’arbitrage, l’un quel- conque d’entre eux peut soumettre le différend à la Cour internationale de Justice en adressant une requête conformément au Statut de la Cour. 3. Chaque Etat Partie peut, au moment de la signature, de la ratification, de l’acceptation ou de l’approbation du présent Protocole ou de l’adhésion à celui-ci, déclarer qu’il ne se considère pas lié par le par. 2 du présent article. Les aures Etats Parties ne sont pas liés par le par. 2 du présent article envers tout Etat Partie ayant émis une telle réserve. 4. Tout Etat Partie qui a émis une réserve en vertu du par. 3 du présent article peut la retirer à tout moment en adressant une notification au Secrétaire général de l’Organisation des Nations Unies. Art. 16 Signature, ratification, acceptation, approbation et adhésion 1. Le présent Protocole sera ouvert à la signature de tous les Etats du 12 au 15 décembre 2000 à Palerme (Italie) et, par la suite, au Siège de l’Organisation des Nations Unies, à New York, jusqu’au 12 décembre 2002. 2. Le présent Protocole est également ouvert à la signature des organisations régio- nales d’intégration économique à la condition qu’au moins un Etat membre d’une telle organisation ait signé le présent Protocole conformément au par. 1 du présent article. 3. Le présent Protocole est soumis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Etats membres l’a fait. Dans cet instrument de ratification, d’acceptation ou d’approbation, cette organisation déclare l’étendue de sa compétence concernant les questions régies par le présent Protocole. Elle informe également le dépositaire de toute modification pertinente de l’étendue de sa compétence. 4. Le présent Protocole est ouvert à l’adhésion de tout Etat ou de toute organisation régionale d’intégration économique dont au moins un Etat membre est Partie au présent Protocole. Les instruments d’adhésion sont déposés auprès du Secrétaire général de l’Organisation des Nations Unies. Au moment de son adhésion, une organisation régionale d’intégration économique déclare l’étendue de sa compétence concernant les questions régies par le présent Protocole. Elle informe également le dépositaire de toute modification pertinente de l’étendue de sa compétence.</w:t>
      </w:r>
    </w:p>
    <w:p>
      <w:r>
        <w:t>Criminalité transnationale organisée</w:t>
      </w:r>
    </w:p>
    <w:p>
      <w:r>
        <w:t>6387 Art. 17 Entrée en vigueur 1. Le présent Protocole entrera en vigueur le quatre-vingt-dixième jour suivant la date de dépôt du quarantième instrument de ratification, d’acceptation, d’appro- bation ou d’adhésion, étant entendu qu’il n’entrera pas en vigueur avant que la Convention n’entre elle-même en vigueur. Aux fins du présent paragraphe, aucun des instruments déposés par une organisation régionale d’intégration économique n’est considéré comme un instrument venant s’ajouter aux instruments déjà déposés par les Etats membres de cette organisation. 2. Pour chaque Etat ou organisation régionale d’intégration économique qui rati- fiera, acceptera ou approuvera le présent Protocole ou y adhérera après le dépôt du quarantième instrument pertinent, le présent Protocole entrera en vigueur le tren- tième jour suivant la date de dépôt de l’instrument pertinent par ledit Etat ou ladite organisation ou à la date à laquelle il entre en vigueur en application du par. 1 du présent article, si celle-ci est postérieure. Art. 18 Amendement 1. A l’expiration d’un délai de cinq ans à compter de l’entrée en vigueur du présent Protocole, un Etat Partie au Protocole peut proposer un amendement et en déposer le texte auprès du Secrétaire général de l’Organisation des Nations Unies. Ce dernier communique alors la proposition d’amendement aux Etats Parties et à la Conférence des Parties à la Convention en vue de l’examen de la proposition et de l’adoption d’une décision. Les Etats Parties au présent Protocole réunis en Conférence des Parties n’épargnent aucun effort pour parvenir à un consensus sur tout amendement. Si tous les efforts en ce sens ont été épuisés sans qu’un accord soit intervenu, il faudra, en dernier recours, pour que l’amendement soit adopté, un vote à la majorité des deux tiers des Etats Parties au présent Protocole présents à la Conférence des Parties et exprimant leur vote. 2. Les organisations régionales d’intégration économique disposent, pour exercer, en vertu du présent article, leur droit de vote dans les domaines qui relèvent de leur compétence, d’un nombre de voix égal au nombre de leurs Etats membres Parties au présent Protocole. Elles n’exercent pas leur droit de vote si leurs Etats membres exercent le leur, et inversement. 3. Un amendement adopté conformément au par. 1 du présent article est soumis à ratification, acceptation ou approbation des Etats Parties. 4. Un amendement adopté conformément au par. 1 du présent article entrera en vigueur pour un Etat Partie quatre-vingt-dix jours après la date de dépôt par ledit Etat Partie auprès du Secrétaire général de l’Organisation des Nations Unies d’un instrument de ratification, d’acceptation ou d’approbation dudit amendement. 5. Un amendement entré en vigueur a force obligatoire à l’égard des Etats Parties qui ont exprimé leur consentement à être liés par lui. Les autres Etats Parties restent liés par les dispositions du présent Protocole et tous amendements antérieurs qu’ils ont ratifiés, acceptés ou approuvés.</w:t>
      </w:r>
    </w:p>
    <w:p>
      <w:r>
        <w:t>Criminalité transnationale organisée</w:t>
      </w:r>
    </w:p>
    <w:p>
      <w:r>
        <w:t>6388 Art. 19 Dénonciation 1. Un Etat Partie peut dénoncer le présent Protocole par notification écrite adressée au Secrétaire général de l’Organisation des Nations Unies. Une telle dénonciation prend effet un an après la date de réception de la notification par le Secrétaire général. 2. Une organisation régionale d’intégration économique cesse d’être Partie au pré- sent Protocole lorsque tous ses Etats membres l’ont dénoncé. Art. 20 Dépositaire et langues 1. Le Secrétaire général de l’Organisation des Nations Unies est le dépositaire du présent Protocole. 2. L’original du présent Protocole, dont les textes anglais, arabe, chinois, espagnol, français et russe font également foi, sera déposé auprès du Secrétaire général de l’Organisation des Nations Unies. En foi de quoi, les plénipotentiaires soussignés, à ce dûment autorisés par leurs gouvernements respectifs, ont signé le présent Protocole.</w:t>
      </w:r>
    </w:p>
    <w:p>
      <w:r>
        <w:t>Schweizerisches Bundesarchiv, Digitale Amtsdruckschriften Archives fédérales suisses, Publications officielles numérisées Archivio federale svizzero, Pubblicazioni ufficiali digitali Protocole additionnel à la Convention des Nations Unies contre la criminalité transnationale organisée visant à prévenir, réprimer et punir la traite des personnes, en particulier des femmes et des enfants In Bundesblatt Dans Feuille fédérale In Foglio federale Jahr 2005 Année Anno Band 1 Volume Volume Heft 46 Cahier Numero Geschäftsnummer --- Numéro d'affaire Numero dell'oggetto Datum 22.11.2005 Date Data Seite 6379-6388 Page Pagina Ref. No</w:t>
      </w:r>
    </w:p>
    <w:p>
      <w:r>
        <w:rPr>
          <w:b/>
        </w:rPr>
        <w:t>E. 10</w:t>
      </w:r>
    </w:p>
    <w:p>
      <w:r>
        <w:t>139 073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