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2004-0776 2055 vom 4. Mai 2004</w:t>
      </w:r>
    </w:p>
    <w:p>
      <w:r>
        <w:t>Bundesverwaltung, 2004-05-04, DE</w:t>
      </w:r>
    </w:p>
    <w:p>
      <w:r>
        <w:rPr>
          <w:b/>
        </w:rPr>
        <w:t xml:space="preserve">Quelle: </w:t>
      </w:r>
      <w:r>
        <w:t>https://mcp.opencaselaw.ch/entscheid/ch_vb_2004-0776_2055_</w:t>
      </w:r>
    </w:p>
    <w:p>
      <w:r>
        <w:t>FR: CH_VB 2004-0776 2055 du 4 mai 2004</w:t>
      </w:r>
    </w:p>
    <w:p>
      <w:r>
        <w:t>IT: CH_VB 2004-0776 2055 del 4 maggio 2004</w:t>
      </w:r>
    </w:p>
    <w:p>
      <w:pPr>
        <w:pStyle w:val="Heading2"/>
      </w:pPr>
      <w:r>
        <w:t>Volltext</w:t>
      </w:r>
    </w:p>
    <w:p>
      <w:r>
        <w:t>2004-0776 2055 Procédure de consultation Département fédéral de justice et police Révision partielle du Code civil (droits réels immobiliers et droit du registre foncier) L’introduction, comme alternative à la cédule hypothécaire sur papier, de la cédule hypothécaire sans titre, générée par l’inscription au registre foncier, constitue la principale innovation de l’avant-projet. Renoncer à l’émission d’un titre de gage permet d’économiser les frais liés à sa conservation en lieu sûr et à sa transmission entre les banques, les études de notaires et les bureaux du registre foncier. La cédule de registreprésente aussi l’avantage de ne pouvoir être égarée, ce qui évite les procé- dures d’annulation longues et coûteuses que nécessite d’ordinaire la perte d’un titre de gage. Date limite: 30 novembre 2004 Les documents relatifs à la procédure de consultation peuvent être obtenus auprès de: Office fédéral chargé du droit du registre foncier et du droit foncier, Bundesrain 20, 3003 Berne, téléphone 031 322 47 97, fax 031 322 42 25, www.ofj.admin.ch/d/index.html 4 mai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17 Cahier Numero Geschäftsnummer --- Numéro d'affaire Numero dell'oggetto Datum 04.05.2004 Date Data Seite 2055-2055 Page Pagina Ref. No 10 137 590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