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2004-0264 157 vom 18. Januar 2005</w:t>
      </w:r>
    </w:p>
    <w:p>
      <w:r>
        <w:t>Bundesverwaltung, 2005-01-18, DE</w:t>
      </w:r>
    </w:p>
    <w:p>
      <w:r>
        <w:rPr>
          <w:b/>
        </w:rPr>
        <w:t xml:space="preserve">Quelle: </w:t>
      </w:r>
      <w:r>
        <w:t>https://mcp.opencaselaw.ch/entscheid/ch_vb_2004-0264_157_</w:t>
      </w:r>
    </w:p>
    <w:p>
      <w:r>
        <w:t>FR: CH_VB 2004-0264 157 du 18 janvier 2005</w:t>
      </w:r>
    </w:p>
    <w:p>
      <w:r>
        <w:t>IT: CH_VB 2004-0264 157 del 18 gennaio 2005</w:t>
      </w:r>
    </w:p>
    <w:p>
      <w:pPr>
        <w:pStyle w:val="Heading2"/>
      </w:pPr>
      <w:r>
        <w:t>Erwägungen</w:t>
      </w:r>
    </w:p>
    <w:p>
      <w:r>
        <w:rPr>
          <w:b/>
        </w:rPr>
        <w:t>E. 3</w:t>
      </w:r>
    </w:p>
    <w:p>
      <w:r>
        <w:t>décembre 2004 Au nom du Conseil fédéral suisse:</w:t>
      </w:r>
    </w:p>
    <w:p>
      <w:r>
        <w:t>Le président de la Confédération, Joseph Deiss La chancelière de la Confédération, Annemarie Huber-Hotz</w:t>
      </w:r>
    </w:p>
    <w:p>
      <w:r>
        <w:t>158 Introduction La loi sur les professions médicales à la jonction de la politique de la santé et de la politique de la formation Le présent projet de loi sur la formation universitaire et la formation postgrade ainsi que sur l’exercice des professions médicales universitaires est le résultat d’une discussion de 10 ans entre les principaux acteurs de la santé publique et de la formation. Le développement marquant de la médecine et les exigences en matière de soins qui se modifieront considérablement dans un proche avenir (démographie, chronification, déterminants psychosociaux des maladies) ont conduit à une nou- velle conception des bases légales pour les professions médicales universitaires, qui se concentre principalement sur les compétences, les aptitudes et les capacités professionnelles dont doit disposer un médecin. Le questionnement constant était le suivant: Comment la Confédération peut-elle créer un cadre juridique flexible qui garantit la qualité de la formation universitaire et de la formation postgrade dans le contexte international tout en assurant la qualité élevée des prestations médicales? L’accent était ainsi mis sur les processus et les contenus. Au cours des années passées, la pression concernant les coûts est devenue forte dans les cantons qui ont des facultés de médecine ou financent des hôpitaux univer- sitaires. Ainsi, les questions de financement et d’adéquation des structures et des compétences décisionnelles sont devenues incontournables. Fin 2003, le chef du DFI a donc chargé, d’une part, un groupe de pilotage, composé des directeurs de la santé et de la formation des cantons universitaires, et, d’autre part, un groupe de travail dirigé par le Secrétaire d’Etat Charles Kleiber, directeur du Groupement de la science et de la recherche, de mener une analyse exhaustive et de proposer des solutions. Le 1er août 2004, le groupe de travail a présenté son rapport intermédiaire «Pour un renforcement de la médecine universitaire»1. Il proposait des réformes dans quatre domaines: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