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2004-0171 473 vom 23. Juni 1999</w:t>
      </w:r>
    </w:p>
    <w:p>
      <w:r>
        <w:t>Bundesverwaltung, 1999-06-23, DE</w:t>
      </w:r>
    </w:p>
    <w:p>
      <w:r>
        <w:rPr>
          <w:b/>
        </w:rPr>
        <w:t xml:space="preserve">Quelle: </w:t>
      </w:r>
      <w:r>
        <w:t>https://mcp.opencaselaw.ch/entscheid/ch_vb_2004-0171_473_</w:t>
      </w:r>
    </w:p>
    <w:p>
      <w:r>
        <w:t>FR: CH_VB 2004-0171 473 du 23 juin 1999</w:t>
      </w:r>
    </w:p>
    <w:p>
      <w:r>
        <w:t>IT: CH_VB 2004-0171 473 del 23 giugno 1999</w:t>
      </w:r>
    </w:p>
    <w:p>
      <w:pPr>
        <w:pStyle w:val="Heading2"/>
      </w:pPr>
      <w:r>
        <w:t>Erwägungen</w:t>
      </w:r>
    </w:p>
    <w:p>
      <w:r>
        <w:rPr>
          <w:b/>
        </w:rPr>
        <w:t>E. 1</w:t>
      </w:r>
    </w:p>
    <w:p>
      <w:r>
        <w:t>Caractéristiques du produit (pour tous les produits mentionnés) Substance(s) active(s): Folpet 25 %</w:t>
      </w:r>
    </w:p>
    <w:p>
      <w:r>
        <w:t>Kupfer (als Kalkpräparat) 12 % Formulation: WP</w:t>
      </w:r>
    </w:p>
    <w:p>
      <w:r>
        <w:rPr>
          <w:b/>
        </w:rPr>
        <w:t>E. 2</w:t>
      </w:r>
    </w:p>
    <w:p>
      <w:r>
        <w:t>Produits commerciaux Adiafix F Numéro d’homologation suisse: F-1318</w:t>
      </w:r>
    </w:p>
    <w:p>
      <w:r>
        <w:t>pays d’origine: France</w:t>
      </w:r>
    </w:p>
    <w:p>
      <w:r>
        <w:t>numéro d’homologation étranger: 78 00731</w:t>
      </w:r>
    </w:p>
    <w:p>
      <w:r>
        <w:t>distributeur: TRADI-AGRI, 38, avenue Hoche,</w:t>
      </w:r>
    </w:p>
    <w:p>
      <w:r>
        <w:t>75008 PARIS Applications autorisées: Domaine d’application Maladie / effets Mode d’application (*)</w:t>
      </w:r>
    </w:p>
    <w:p>
      <w:r>
        <w:t>Viticulture</w:t>
      </w:r>
    </w:p>
    <w:p>
      <w:r>
        <w:t>toutes les cultures Mildiou de la vigne Efficacité partielle: pourriture grise (Botrytis cinerea) Effet secondaire: rougeot para- sitaire de la vigne Concentration: 0.3 % Application: après la floraison, jusqu’à mi-août au plus tard 1, 2 Culture maraîchère</w:t>
      </w:r>
    </w:p>
    <w:p>
      <w:r>
        <w:t>Aubergine, tomate Alternariose, mildiou de la tomate, septoriose de la tomate/aubergine Concentration: 0.3 % Délai d’attente: 3 jours</w:t>
      </w:r>
    </w:p>
    <w:p>
      <w:r>
        <w:rPr>
          <w:b/>
        </w:rPr>
        <w:t>E. 3</w:t>
      </w:r>
    </w:p>
    <w:p>
      <w:r>
        <w:t>(*) Charges et remarques Toxique poissons 1 = Convient également pour l’application par voie aérienne 1 = 6 kg de cuivre métallique par hectare et par année au maximum; sur 5 ans, le bilan de cuivre métal ne doit toutefois pas dépasser 20 kg par hectare au maximum 1 = 4 kg de cuivre métallique par hectare et par année au maximum</w:t>
      </w:r>
    </w:p>
    <w:p>
      <w:r>
        <w:t>Stockage et élimination Le produit doit être conservé dans l’emballage original, à l’écart des denrées alimen- taires, des aliments pour animaux et des médicaments, de façon à ne pas être acces- sible aux personnes non autorisées. Les récipients vides doivent être nettoyés avec soin et être confiés à la voirie pour leur élimination. Les restes de substances doivent être confiés au centre de ramas- sage de la commune, à un centre de collecte de déchets spéciaux ou au point de vente. Sont réservées les prescriptions de la législation sur les toxiques et sur la protection de l’environnement. Droit de la concurrence et droit de la propriété intellectuelle La présente décision de portée générale n’influe pas sur les règles du droit de la concurrence et du droit de la propriété intellectuelle. Voies de droit La présente décision peut être attaquée, dans un délai de 30 jours à compter de sa notification, auprès de la Commission de recours DFE (REKO/DFE), 3202 Frauen- kappelen. Le mémoire de recours, à présenter en deux exemplaires, indique les conclusions, motifs et moyens de preuve et porte la signature du recourant ou de son représentant; y seront jointes la décision attaquée et les pièces invoquées comme moyens de preuve, lorsqu’elles sont disponibles. 10 février 2004 Office fédéral de l’agriculture:</w:t>
      </w:r>
    </w:p>
    <w:p>
      <w:r>
        <w:t>Le directeur, Manfred Bötsch</w:t>
      </w:r>
    </w:p>
    <w:p>
      <w:r>
        <w:t>Schweizerisches Bundesarchiv, Digitale Amtsdruckschriften Archives fédérales suisses, Publications officielles numérisées Archivio federale svizzero, Pubblicazioni ufficiali digitali Décision de portée générale concernant la modification de l'application autorisée des produits mentionnés dans la liste des produits phytosanitaires non soumis à autorisation In Bundesblatt Dans Feuille fédérale In Foglio federale Jahr 2004 Année Anno Band 1 Volume Volume Heft</w:t>
      </w:r>
    </w:p>
    <w:p>
      <w:r>
        <w:rPr>
          <w:b/>
        </w:rPr>
        <w:t>E. 05</w:t>
      </w:r>
    </w:p>
    <w:p>
      <w:r>
        <w:t>Cahier Numero Geschäftsnummer --- Numéro d'affaire Numero dell'oggetto Datum 10.02.2004 Date Data Seite 473-474 Page Pagina Ref. No</w:t>
      </w:r>
    </w:p>
    <w:p>
      <w:r>
        <w:rPr>
          <w:b/>
        </w:rPr>
        <w:t>E. 10</w:t>
      </w:r>
    </w:p>
    <w:p>
      <w:r>
        <w:t>137 372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