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2004-0093 171 vom 27. Januar 2004</w:t>
      </w:r>
    </w:p>
    <w:p>
      <w:r>
        <w:t>Bundesverwaltung, 2004-01-27, DE</w:t>
      </w:r>
    </w:p>
    <w:p>
      <w:r>
        <w:rPr>
          <w:b/>
        </w:rPr>
        <w:t xml:space="preserve">Quelle: </w:t>
      </w:r>
      <w:r>
        <w:t>https://mcp.opencaselaw.ch/entscheid/ch_vb_2004-0093_171_</w:t>
      </w:r>
    </w:p>
    <w:p>
      <w:r>
        <w:t>FR: CH_VB 2004-0093 171 du 27 janvier 2004</w:t>
      </w:r>
    </w:p>
    <w:p>
      <w:r>
        <w:t>IT: CH_VB 2004-0093 171 del 27 gennaio 2004</w:t>
      </w:r>
    </w:p>
    <w:p>
      <w:pPr>
        <w:pStyle w:val="Heading2"/>
      </w:pPr>
      <w:r>
        <w:t>Erwägungen</w:t>
      </w:r>
    </w:p>
    <w:p>
      <w:r>
        <w:rPr>
          <w:b/>
        </w:rPr>
        <w:t>E. 4</w:t>
      </w:r>
    </w:p>
    <w:p>
      <w:r>
        <w:t>A 11.01.2004–11.01.2007 (Renouvellement) Permis de travail de nuit (sans alternance) (Art. 17 Ltr) – 04-3805 / 102094 Gefco (Suisse) SA, 2916 Fahy stockage, transport besoins spéciaux de consommation</w:t>
      </w:r>
    </w:p>
    <w:p>
      <w:r>
        <w:rPr>
          <w:b/>
        </w:rPr>
        <w:t>E. 5</w:t>
      </w:r>
    </w:p>
    <w:p>
      <w:r>
        <w:t>A 01.01.2004–31.12.2004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 27 janiver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(nur d + f) In Bundesblatt Dans Feuille fédérale In Foglio federale Jahr 2004 Année Anno Band 1 Volume Volume Heft 03 Cahier Numero Geschäftsnummer --- Numéro d'affaire Numero dell'oggetto Datum 27.01.2004 Date Data Seite 171-171 Page Pagina Ref. No</w:t>
      </w:r>
    </w:p>
    <w:p>
      <w:r>
        <w:rPr>
          <w:b/>
        </w:rPr>
        <w:t>E. 10</w:t>
      </w:r>
    </w:p>
    <w:p>
      <w:r>
        <w:t>137 329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