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2003-2775 685 vom 19. Januar 2004</w:t>
      </w:r>
    </w:p>
    <w:p>
      <w:r>
        <w:t>Bundesverwaltung, 2004-01-19, DE</w:t>
      </w:r>
    </w:p>
    <w:p>
      <w:r>
        <w:rPr>
          <w:b/>
        </w:rPr>
        <w:t xml:space="preserve">Quelle: </w:t>
      </w:r>
      <w:r>
        <w:t>https://mcp.opencaselaw.ch/entscheid/ch_vb_2003-2775_685_</w:t>
      </w:r>
    </w:p>
    <w:p>
      <w:r>
        <w:t>FR: CH_VB 2003-2775 685 du 19 janvier 2004</w:t>
      </w:r>
    </w:p>
    <w:p>
      <w:r>
        <w:t>IT: CH_VB 2003-2775 685 del 19 gennaio 2004</w:t>
      </w:r>
    </w:p>
    <w:p>
      <w:pPr>
        <w:pStyle w:val="Heading2"/>
      </w:pPr>
      <w:r>
        <w:t>Erwägungen</w:t>
      </w:r>
    </w:p>
    <w:p>
      <w:r>
        <w:rPr>
          <w:b/>
        </w:rPr>
        <w:t>E. 1</w:t>
      </w:r>
    </w:p>
    <w:p>
      <w:r>
        <w:t>La déclaration de force obligatoire s’applique à l’ensemble du territoire suisse.</w:t>
      </w:r>
    </w:p>
    <w:p>
      <w:r>
        <w:rPr>
          <w:b/>
        </w:rPr>
        <w:t>E. 2</w:t>
      </w:r>
    </w:p>
    <w:p>
      <w:r>
        <w:t>Les prescriptions de la Convention collective de travail (CCT) ayant force obliga- toire générale s’appliquent, dans le cadre des al. 3 et 4, à tous les employeurs de la branche privée de la sécurité occupant au total au moins 20 collaborateurs et colla- boratrices (y compris des employés non assujettis à la déclaration de force obliga- toire) et leurs collaborateurs et collaboratrices opérationnels, actifs dans les secteurs suivants: a. Surveillance, protection de personnes et de biens, services dans les centrales d’alarme, services de sécurité dans les aéroports (contrôle de personnes et de bagages), convoyage de fonds (sans traitement de valeurs); b. Services lors de manifestations (contrôles des entrées et services de caisse), services de circulation (contrôle des véhicules en stationnement et régulation du trafic), traitement de valeurs.</w:t>
      </w:r>
    </w:p>
    <w:p>
      <w:r>
        <w:rPr>
          <w:b/>
        </w:rPr>
        <w:t>E. 3</w:t>
      </w:r>
    </w:p>
    <w:p>
      <w:r>
        <w:t>Toute les dispositions déclarées de force obligatoire s’appliquent aux collabora- teurs et collaboratrices rétribués au mois, qui sont principalement actifs dans les secteurs conformément à l’al. 2, let. a. Les dispositions de l’art. 2, ch. 4 de la Convention collective de travail réglementent le moment à partir duquel un droit à une rétribution au mois existe.</w:t>
      </w:r>
    </w:p>
    <w:p>
      <w:r>
        <w:t>1 RS 221.215.311 2 Des tirés à part de l’extension peuvent être obtenus auprès de l’OFCL, Diffusion des publications, 3003 Berne.</w:t>
      </w:r>
    </w:p>
    <w:p>
      <w:r>
        <w:t>Convention collective de travail pour la branche privée de la sécurité. ACF 686</w:t>
      </w:r>
    </w:p>
    <w:p>
      <w:r>
        <w:rPr>
          <w:b/>
        </w:rPr>
        <w:t>E. 4</w:t>
      </w:r>
    </w:p>
    <w:p>
      <w:r>
        <w:t>Seule l’annexe 2 de la CCT s’applique aux collaborateurs et collaboratrices rétri- bués à l’heure ou principalement actifs dans les secteurs conformément à l’al. 2, let. b.</w:t>
      </w:r>
    </w:p>
    <w:p>
      <w:r>
        <w:rPr>
          <w:b/>
        </w:rPr>
        <w:t>E. 5</w:t>
      </w:r>
    </w:p>
    <w:p>
      <w:r>
        <w:t>Sont exclus du champ d’application les directeurs et directrices, ainsi que le per- sonnel administratif et non opérationnel. Art. 3 Le présent arrêté entre en vigueur le 1er mars 2004 et a effet jusqu’au 31 décembre 2008. 19 janvier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2004 Année Anno Band 1 Volume Volume Heft</w:t>
      </w:r>
    </w:p>
    <w:p>
      <w:r>
        <w:rPr>
          <w:b/>
        </w:rPr>
        <w:t>E. 06</w:t>
      </w:r>
    </w:p>
    <w:p>
      <w:r>
        <w:t>Cahier Numero Geschäftsnummer --- Numéro d'affaire Numero dell'oggetto Datum 17.02.2004 Date Data Seite 685-686 Page Pagina Ref. No</w:t>
      </w:r>
    </w:p>
    <w:p>
      <w:r>
        <w:rPr>
          <w:b/>
        </w:rPr>
        <w:t>E. 10</w:t>
      </w:r>
    </w:p>
    <w:p>
      <w:r>
        <w:t>137 383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