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2003-2534 7349 vom 20. Oktober 2003</w:t>
      </w:r>
    </w:p>
    <w:p>
      <w:r>
        <w:t>Bundesverwaltung, 2003-10-20, DE</w:t>
      </w:r>
    </w:p>
    <w:p>
      <w:r>
        <w:rPr>
          <w:b/>
        </w:rPr>
        <w:t xml:space="preserve">Quelle: </w:t>
      </w:r>
      <w:r>
        <w:t>https://mcp.opencaselaw.ch/entscheid/ch_vb_2003-2534_7349_</w:t>
      </w:r>
    </w:p>
    <w:p>
      <w:r>
        <w:t>FR: CH_VB 2003-2534 7349 du 20 octobre 2003</w:t>
      </w:r>
    </w:p>
    <w:p>
      <w:r>
        <w:t>IT: CH_VB 2003-2534 7349 del 20 ottobre 2003</w:t>
      </w:r>
    </w:p>
    <w:p>
      <w:pPr>
        <w:pStyle w:val="Heading2"/>
      </w:pPr>
      <w:r>
        <w:t>Volltext</w:t>
      </w:r>
    </w:p>
    <w:p>
      <w:r>
        <w:t>2003-2534 7349 Publications des départements et des offices de la Confédération</w:t>
      </w:r>
    </w:p>
    <w:p>
      <w:r>
        <w:t>Chancellerie fédérale Conventions intercantonales Par courrier du 20 octobre 2003, la Conférence suisse des directeurs cantonaux de l’instruction publique a, en vertu de l’art. 48, al. 3, de la Constitution fédérale, porté à la connaissance de la Confédération les accords suivants: – Convention intercantonale sur les contributions des cantons aux frais de scolarité et de formation dans le domaine de la formation professionnelle du 30 août 2001 – Accord intercantonal sur les écoles offrant des formations spécifiques aux élèves surdoués du 20 février 2003 – Accord intercantonal sur les hautes écoles spécialisées à partir de 2005 du 12 juin 2003 Les accords peuvent être consultés auprès de la: Conférence suisse des directeurs cantonaux de l’instruction publique Zähringerstrasse 25, 3001 Berne, Téléphone 031 309 51 11, fax 031 309 51 50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16 décembre 2003 Chancellerie fédérale</w:t>
      </w:r>
    </w:p>
    <w:p>
      <w:r>
        <w:t>Schweizerisches Bundesarchiv, Digitale Amtsdruckschriften Archives fédérales suisses, Publications officielles numérisées Archivio federale svizzero, Pubblicazioni ufficiali digitali Chancellerie fédérale. Conventions intercantonales In Bundesblatt Dans Feuille fédérale In Foglio federale Jahr 2003 Année Anno Band 1 Volume Volume Heft 49 Cahier Numero Geschäftsnummer --- Numéro d'affaire Numero dell'oggetto Datum 16.12.2003 Date Data Seite 7349-7349 Page Pagina Ref. No 10 127 915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