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2003-2097 6261 vom 14. Oktober 2003</w:t>
      </w:r>
    </w:p>
    <w:p>
      <w:r>
        <w:t>Bundesverwaltung, 2003-10-14, DE</w:t>
      </w:r>
    </w:p>
    <w:p>
      <w:r>
        <w:rPr>
          <w:b/>
        </w:rPr>
        <w:t xml:space="preserve">Quelle: </w:t>
      </w:r>
      <w:r>
        <w:t>https://mcp.opencaselaw.ch/entscheid/ch_vb_2003-2097_6261</w:t>
      </w:r>
    </w:p>
    <w:p>
      <w:r>
        <w:t>FR: CH_VB 2003-2097 6261 du 14 octobre 2003</w:t>
      </w:r>
    </w:p>
    <w:p>
      <w:r>
        <w:t>IT: CH_VB 2003-2097 6261 del 14 ottobre 2003</w:t>
      </w:r>
    </w:p>
    <w:p>
      <w:pPr>
        <w:pStyle w:val="Heading2"/>
      </w:pPr>
      <w:r>
        <w:t>Volltext</w:t>
      </w:r>
    </w:p>
    <w:p>
      <w:r>
        <w:t>2003-2097 6261 Exécution de la loi fédérale sur la formation professionnelle Le WWF Suisse, l’Association Suisse des Professionnels de l’Environnement (ASEP) et les Professionnelles en Environnement (PEE) ont déposé un projet de règlement concernant l’examen professionnel de conseiller/-ère en environnement, conformément à l’art. 51 de la loi fédérale du 19 avril 1978 sur la formation pro- fessionnelle (RS 412.10) et à l’art. 45, al. 2, de son ordonnance d’exécution du 7 novembre 1979 (RS 412.101). L’Association du verre plat (AVP) a déposé un projet de règlement concernant l’examen professionnel du contremaître vitrier(ère),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14 octobre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40 Cahier Numero Geschäftsnummer --- Numéro d'affaire Numero dell'oggetto Datum 14.10.2003 Date Data Seite 6261-6261 Page Pagina Ref. No 10 127 743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