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2003-1987 5825 vom 15. September 2003</w:t>
      </w:r>
    </w:p>
    <w:p>
      <w:r>
        <w:t>Bundesverwaltung, 2003-09-15, DE</w:t>
      </w:r>
    </w:p>
    <w:p>
      <w:r>
        <w:rPr>
          <w:b/>
        </w:rPr>
        <w:t xml:space="preserve">Quelle: </w:t>
      </w:r>
      <w:r>
        <w:t>https://mcp.opencaselaw.ch/entscheid/ch_vb_2003-1987_5825</w:t>
      </w:r>
    </w:p>
    <w:p>
      <w:r>
        <w:t>FR: CH_VB 2003-1987 5825 du 15 septembre 2003</w:t>
      </w:r>
    </w:p>
    <w:p>
      <w:r>
        <w:t>IT: CH_VB 2003-1987 5825 del 15 settembre 2003</w:t>
      </w:r>
    </w:p>
    <w:p>
      <w:pPr>
        <w:pStyle w:val="Heading2"/>
      </w:pPr>
      <w:r>
        <w:t>Erwägungen</w:t>
      </w:r>
    </w:p>
    <w:p>
      <w:r>
        <w:rPr>
          <w:b/>
        </w:rPr>
        <w:t>E. 15</w:t>
      </w:r>
    </w:p>
    <w:p>
      <w:r>
        <w:t>septembre 2003 Sanitas Caisse-maladie, Zurich</w:t>
      </w:r>
    </w:p>
    <w:p>
      <w:r>
        <w:rPr>
          <w:b/>
        </w:rPr>
        <w:t>E. 16</w:t>
      </w:r>
    </w:p>
    <w:p>
      <w:r>
        <w:t>septembre 2003 Cassa da malsauns publica Lumnezia I, Vella</w:t>
      </w:r>
    </w:p>
    <w:p>
      <w:r>
        <w:rPr>
          <w:b/>
        </w:rPr>
        <w:t>E. 17</w:t>
      </w:r>
    </w:p>
    <w:p>
      <w:r>
        <w:t>septembre 2003 Malters Caisse-maladie, Malters pour l’assurance 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30 septembre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privées In Bundesblatt Dans Feuille fédérale In Foglio federale Jahr 2003 Année Anno Band 1 Volume Volume Heft 38 Cahier Numero Geschäftsnummer --- Numéro d'affaire Numero dell'oggetto Datum 30.09.2003 Date Data Seite 5825-5825 Page Pagina Ref. No 10 127 675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