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2003-1335 4129 vom 14. Juni 1993</w:t>
      </w:r>
    </w:p>
    <w:p>
      <w:r>
        <w:t>Bundesverwaltung, 1993-06-14, DE</w:t>
      </w:r>
    </w:p>
    <w:p>
      <w:r>
        <w:rPr>
          <w:b/>
        </w:rPr>
        <w:t xml:space="preserve">Quelle: </w:t>
      </w:r>
      <w:r>
        <w:t>https://mcp.opencaselaw.ch/entscheid/ch_vb_2003-1335_4129</w:t>
      </w:r>
    </w:p>
    <w:p>
      <w:r>
        <w:t>FR: CH_VB 2003-1335 4129 du 14 juin 1993</w:t>
      </w:r>
    </w:p>
    <w:p>
      <w:r>
        <w:t>IT: CH_VB 2003-1335 4129 del 14 giugno 1993</w:t>
      </w:r>
    </w:p>
    <w:p>
      <w:pPr>
        <w:pStyle w:val="Heading2"/>
      </w:pPr>
      <w:r>
        <w:t>Volltext</w:t>
      </w:r>
    </w:p>
    <w:p>
      <w:r>
        <w:t>2003-1335 4129 Autorisation particulière de lever le secret professionnel à des fins de recherche dans les domaines de la médecine et de la santé publique La Commission d’experts du secret professionnel en matière de recherche médicale a, en séance plénière du 13 décembre 2002 et par voie de circulation du 10 janvier 2003, en se fondant sur les art. 321bis du code pénal suisse (CP; RS 311.0) et 1, 2, 9 al. 4 et 5, et 10 de l’ordonnance du 14 juin 1993 concernant les autorisations de lever le secret professionnel en matière de recherche médicale (OALSP; RS 235.154), dans la cause «Risk Factors associated with Mortality from Hepatocellular Cancer in Switzerland, A descriptive Study using Death Certificates and Patients Historical Data» concernant la demande d’autorisation particulière du 30 octobre 2002 pour la levée du secret professionnel à des fins de recherche dans les domaines de la médecine et de la santé publique au sens de l’art. 321bis CP, décidé: Titulaires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Prof. Dr. méd B. Müllhaupt, du Département de médecine interne, gastro-entérologie et hépatologie de l’Hôpital universitaire de Zürich, en tant que chef de projet responsable, pour la récolte de données non anonymes, aux conditions et aux charges mentionnées ci-après, selon le chiffre 2 et dans les limites des buts prévus sous chiffre 3. Il doit signer une déclaration sur son obligation de garder le secret en vertu de l’art. 321bis CP. b. Une autorisation particulière de lever le secret professionnel au sens de l’art. 321bis CP et de l’art. 2 OALSP est octroyée à Mme S. Huber-Egger, doctorante en médecine, pour la récolte de données non anonymes, aux conditions et aux charges mentionnées ci-après, selon le chiffre 2 et dans les limites des buts prévus sous chiffre 3. Elle doit signer une déclaration sur son obligation de garder le secret en vertu de l’art. 321bis CP. Autorisation particulière pour la divulgation de données personnelles a. L’autorisation délie du secret professionnel l’ensemble des médecins indé- pendants ou engagés dans des hôpitaux envers les titulaires de l’autorisation au sens du chiffre 1. Ils sont autorisés à leur donner accès aux données per- sonnelles de patients traîtés pendant les années 1995 ou 1999, au code diag- nostic ICD 10, C22 ou C22.9, et qui sont décédés par la suite,. b. L’octroi de l’autorisation n’engendre pour personne l’obligation de commu- niquer les données.</w:t>
      </w:r>
    </w:p>
    <w:p>
      <w:r>
        <w:t>4130 But de la communication des données La communication de données soumises au secret professionnel au sens de l’art. 321bis CP n’est autorisée que pour le projet de recherche: «Risk Factors asso- ciated with Mortality from Hepatocellular Cancer in Switzerland, A descriptive Study using Death Certificates and Patients Historical Data». Responsable de la protection des données communiquées Le Dr. méd. B. Müllhaupt, chef de projet, est responsable de la protection des données communiquées. Charges Le demandeur doit garantir qu’en dehors de la doctorante en médecine, personne ne peut avoir accès aux données non-anonymes. Les titulaires de l’autorisation sont tenus d’orienter par écrit les médecins traitants des hôpitaux concernés sur l’étendue de l’autorisation accordée. La lettre aux méde- cins doit être soumise pour approbation, aussitôt que possible, c’est à dire avant le début des activités de recherche, au Président de la Commission d’experts par l’intermédiaire du secrétariat de la Commission. Il doit être garanti que l’ordinateur utilisé pour la saisie électronique des données est un système «stand-alone». 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 riat de la Commission d’experts, Office fédéral de la santé publique, 3003 Berne (téléphone 031 324 94 02). 1er juillet 2003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«Risk Factors associated with Mortality from Hepatocellular Cancer in Switzerland, A descriptive... In Bundesblatt Dans Feuille fédérale In Foglio federale Jahr 2003 Année Anno Band 1 Volume Volume Heft 25 Cahier Numero Geschäftsnummer --- Numéro d'affaire Numero dell'oggetto Datum 01.07.2003 Date Data Seite 4129-4130 Page Pagina Ref. No 10 127 431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