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2003-1171 3547 vom 23. November 2000</w:t>
      </w:r>
    </w:p>
    <w:p>
      <w:r>
        <w:t>Bundesverwaltung, 2000-11-23, DE</w:t>
      </w:r>
    </w:p>
    <w:p>
      <w:r>
        <w:rPr>
          <w:b/>
        </w:rPr>
        <w:t xml:space="preserve">Quelle: </w:t>
      </w:r>
      <w:r>
        <w:t>https://mcp.opencaselaw.ch/entscheid/ch_vb_2003-1171_3547</w:t>
      </w:r>
    </w:p>
    <w:p>
      <w:r>
        <w:t>FR: CH_VB 2003-1171 3547 du 23 novembre 2000</w:t>
      </w:r>
    </w:p>
    <w:p>
      <w:r>
        <w:t>IT: CH_VB 2003-1171 3547 del 23 novembre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de qualification de l’appareil à sous Star Ball en tant qu’appareil servant aux jeux d’adresse de la demanderesse est rejetée.</w:t>
      </w:r>
    </w:p>
    <w:p>
      <w:r>
        <w:rPr>
          <w:b/>
        </w:rPr>
        <w:t>E. 2</w:t>
      </w:r>
    </w:p>
    <w:p>
      <w:r>
        <w:t>L’appareil à sous Star Ball précité doit être qualifié d’appareil à sous servant aux jeux de hasard.</w:t>
      </w:r>
    </w:p>
    <w:p>
      <w:r>
        <w:rPr>
          <w:b/>
        </w:rPr>
        <w:t>E. 3</w:t>
      </w:r>
    </w:p>
    <w:p>
      <w:r>
        <w:t>L’installation et l’exploitation des appareils de type Star Ball est interdite (art. 4, al. 1, et 56, al. 1, let. c., LMJ; art 58 ss OLMJ).</w:t>
      </w:r>
    </w:p>
    <w:p>
      <w:r>
        <w:rPr>
          <w:b/>
        </w:rPr>
        <w:t>E. 4</w:t>
      </w:r>
    </w:p>
    <w:p>
      <w:r>
        <w:t>La question de savoir si l’appareil Star Ball se prête à des jeux de hasard ou s’il peut être aisément utilisé à cet effet (cas d’abus) est laissée ouverte.</w:t>
      </w:r>
    </w:p>
    <w:p>
      <w:r>
        <w:rPr>
          <w:b/>
        </w:rPr>
        <w:t>E. 5</w:t>
      </w:r>
    </w:p>
    <w:p>
      <w:r>
        <w:t>La décision ainsi qu’une illustration de l’appareil seront communiquées aux cantons (art. 61, al. 3, OLMJ).</w:t>
      </w:r>
    </w:p>
    <w:p>
      <w:r>
        <w:rPr>
          <w:b/>
        </w:rPr>
        <w:t>E. 6</w:t>
      </w:r>
    </w:p>
    <w:p>
      <w:r>
        <w:t>Un recours contre la présente décision peut être déposé dans les 30 jours des la publication auprès de la Commission de recours compétente en matière de maisons de jeu c/o Advokaturbüro Huber &amp; Fraefel, Belpstrasse 16, Post- fach 6626, 3003 Bern.</w:t>
      </w:r>
    </w:p>
    <w:p>
      <w:r>
        <w:rPr>
          <w:b/>
        </w:rPr>
        <w:t>E. 10</w:t>
      </w:r>
    </w:p>
    <w:p>
      <w:r>
        <w:t>127 350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