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2003-0310 6799 vom 16. Dezember 2005</w:t>
      </w:r>
    </w:p>
    <w:p>
      <w:r>
        <w:t>Bundesverwaltung, 2005-12-16, DE</w:t>
      </w:r>
    </w:p>
    <w:p>
      <w:r>
        <w:rPr>
          <w:b/>
        </w:rPr>
        <w:t xml:space="preserve">Quelle: </w:t>
      </w:r>
      <w:r>
        <w:t>https://mcp.opencaselaw.ch/entscheid/ch_vb_2003-0310_6799_</w:t>
      </w:r>
    </w:p>
    <w:p>
      <w:r>
        <w:t>FR: CH_VB 2003-0310 6799 du 16 décembre 2005</w:t>
      </w:r>
    </w:p>
    <w:p>
      <w:r>
        <w:t>IT: CH_VB 2003-0310 6799 del 16 dicembre 2005</w:t>
      </w:r>
    </w:p>
    <w:p>
      <w:pPr>
        <w:pStyle w:val="Heading2"/>
      </w:pPr>
      <w:r>
        <w:t>Erwägungen</w:t>
      </w:r>
    </w:p>
    <w:p>
      <w:r>
        <w:rPr>
          <w:b/>
        </w:rPr>
        <w:t>E. 1</w:t>
      </w:r>
    </w:p>
    <w:p>
      <w:r>
        <w:t>Si le détenteur d’un immeuble enlève des matériaux provenant d’un site pollué qui ne doivent pas être éliminés en vue d’un assainissement aux termes de l’art. 32c, il peut en règle générale demander aux personne à l’origine de la pollution et aux anciens détenteurs du site d’assumer deux tiers des coûts supplémentaires d’investi- gation et d’élimination desdits matériaux dans les cas suivants: a. les personnes à l’origine de la pollution n’ont assuré aucun dédommagement pour la pollution ou les anciens détenteurs n’ont pas consenti de remise sur le prix en raison d’une pollution lors de la vente de l’immeuble; b. l’élimination des matériaux est nécessaire pour la construction ou la trans- formation des bâtiments; c. le détenteur a acquis l’immeuble entre le 1er juillet 1972 et le 1er juillet 1997.</w:t>
      </w:r>
    </w:p>
    <w:p>
      <w:r>
        <w:rPr>
          <w:b/>
        </w:rPr>
        <w:t>E. 2</w:t>
      </w:r>
    </w:p>
    <w:p>
      <w:r>
        <w:t>L’action peut être ouverte devant le tribunal civil du lieu où l’immeuble est situé. La procédure civile correspondante est applicable.</w:t>
      </w:r>
    </w:p>
    <w:p>
      <w:r>
        <w:rPr>
          <w:b/>
        </w:rPr>
        <w:t>E. 3</w:t>
      </w:r>
    </w:p>
    <w:p>
      <w:r>
        <w:t>La collectivité publique compétente prend à sa charge la part de frais due par les personnes à l’origine des mesures, qui ne peuvent être identifiées ou qui sont insol- vables.</w:t>
      </w:r>
    </w:p>
    <w:p>
      <w:r>
        <w:rPr>
          <w:b/>
        </w:rPr>
        <w:t>E. 4</w:t>
      </w:r>
    </w:p>
    <w:p>
      <w:r>
        <w:t>L’autorité prend une décision sur la répartition des coûts lorsqu’une personne concernée l’exige ou qu’une autorité prend les mesures elle-même.</w:t>
      </w:r>
    </w:p>
    <w:p>
      <w:r>
        <w:rPr>
          <w:b/>
        </w:rPr>
        <w:t>E. 5</w:t>
      </w:r>
    </w:p>
    <w:p>
      <w:r>
        <w:t>Le Conseil fédéral édicte des dispositions sur la procédure de perception de la taxe, ainsi que sur le financement des mesures et les coûts imputables.</w:t>
      </w:r>
    </w:p>
    <w:p>
      <w:r>
        <w:rPr>
          <w:b/>
        </w:rPr>
        <w:t>E. 6</w:t>
      </w:r>
    </w:p>
    <w:p>
      <w:r>
        <w:t>Le droit cantonal peut également prévoir des taxes destinées au financement de l’investigation, de la surveillance et de l’assainissement des sites pollués.</w:t>
      </w:r>
    </w:p>
    <w:p>
      <w:r>
        <w:t>Loi sur la protection de l’environnement 6802 II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20054 Délai référendaire: 6 avril 2006</w:t>
      </w:r>
    </w:p>
    <w:p>
      <w:r>
        <w:t>4 FF 2005 6799</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In Bundesblatt Dans Feuille fédérale In Foglio federale Jahr 2005 Année Anno Band 1 Volume Volume Heft 51 Cahier Numero Geschäftsnummer --- Numéro d'affaire Numero dell'oggetto Datum 27.12.2005 Date Data Seite 6799-6802 Page Pagina Ref. No</w:t>
      </w:r>
    </w:p>
    <w:p>
      <w:r>
        <w:rPr>
          <w:b/>
        </w:rPr>
        <w:t>E. 10</w:t>
      </w:r>
    </w:p>
    <w:p>
      <w:r>
        <w:t>139 161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