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2003-0144 875 vom 18. Februar 2003</w:t>
      </w:r>
    </w:p>
    <w:p>
      <w:r>
        <w:t>Bundesverwaltung, 2003-02-18, DE</w:t>
      </w:r>
    </w:p>
    <w:p>
      <w:r>
        <w:rPr>
          <w:b/>
        </w:rPr>
        <w:t xml:space="preserve">Quelle: </w:t>
      </w:r>
      <w:r>
        <w:t>https://mcp.opencaselaw.ch/entscheid/ch_vb_2003-0144_875</w:t>
      </w:r>
    </w:p>
    <w:p>
      <w:r>
        <w:t>FR: CH_VB 2003-0144 875 du 18 février 2003</w:t>
      </w:r>
    </w:p>
    <w:p>
      <w:r>
        <w:t>IT: CH_VB 2003-0144 875 del 18 febbraio 2003</w:t>
      </w:r>
    </w:p>
    <w:p>
      <w:pPr>
        <w:pStyle w:val="Heading2"/>
      </w:pPr>
      <w:r>
        <w:t>Erwägungen</w:t>
      </w:r>
    </w:p>
    <w:p>
      <w:r>
        <w:rPr>
          <w:b/>
        </w:rPr>
        <w:t>E. 1</w:t>
      </w:r>
    </w:p>
    <w:p>
      <w:r>
        <w:t>Les droits et obligations des Etats Parties au présent Accord relatifs aux sub- ventions et aux mesures de compensation sont régies par les dispositions de l’art. XVI du GATT 1994 et de l’Accord de l’OMC sur les subventions et les mesures compensatoires, sauf dispositions spécifiques au présent article.</w:t>
      </w:r>
    </w:p>
    <w:p>
      <w:r>
        <w:rPr>
          <w:b/>
        </w:rPr>
        <w:t>E. 2</w:t>
      </w:r>
    </w:p>
    <w:p>
      <w:r>
        <w:t>L’étendue des obligations des Etats Parties d’assurer la transparence quant aux mesures de subventionnement est déterminée par les critères énoncés dans l’art. XVI:1 du GATT 1994 et dans l’art. 25 de l’Accord sur les sub- ventions et les mesures compensatoires.</w:t>
      </w:r>
    </w:p>
    <w:p>
      <w:r>
        <w:rPr>
          <w:b/>
        </w:rPr>
        <w:t>E. 3</w:t>
      </w:r>
    </w:p>
    <w:p>
      <w:r>
        <w:t>Dans l’art. 24, al. 6, ligne 4, les mots «et dans le cas où des mesures d’aide gou- vernementale ont une incidence directe et immédiate sur les échanges entre les Etats Parties» sont supprimés.</w:t>
      </w:r>
    </w:p>
    <w:p>
      <w:r>
        <w:rPr>
          <w:b/>
        </w:rPr>
        <w:t>E. 4</w:t>
      </w:r>
    </w:p>
    <w:p>
      <w:r>
        <w:t>L’art. 2 de l’annexe II de l’Accord est supprimé.</w:t>
      </w:r>
    </w:p>
    <w:p>
      <w:r>
        <w:rPr>
          <w:b/>
        </w:rPr>
        <w:t>E. 5</w:t>
      </w:r>
    </w:p>
    <w:p>
      <w:r>
        <w:t>Les annexes V et VI de l’Accord sont supprimées.</w:t>
      </w:r>
    </w:p>
    <w:p>
      <w:r>
        <w:rPr>
          <w:b/>
        </w:rPr>
        <w:t>E. 6</w:t>
      </w:r>
    </w:p>
    <w:p>
      <w:r>
        <w:t>Les amendements susmentionnés entreront en vigueur lorsque les instruments d’acceptation auront été déposés par toutes les Parties au présent Accord auprès du dépositaire qui le notifiera à toutes les autres Parties.</w:t>
      </w:r>
    </w:p>
    <w:p>
      <w:r>
        <w:rPr>
          <w:b/>
        </w:rPr>
        <w:t>E. 7</w:t>
      </w:r>
    </w:p>
    <w:p>
      <w:r>
        <w:t>Le Secrétaire général de l’Association européenne de libre-échange déposera le texte de la présente décision auprès du dépositaire.</w:t>
      </w:r>
    </w:p>
    <w:p>
      <w:r>
        <w:t>Schweizerisches Bundesarchiv, Digitale Amtsdruckschriften Archives fédérales suisses, Publications officielles numérisées Archivio federale svizzero, Pubblicazioni ufficiali digitali Recommandation 1/01 du Comité mixte AELE-Estonie In Bundesblatt Dans Feuille fédérale In Foglio federale Jahr 2003 Année Anno Band 1 Volume Volume Heft 06 Cahier Numero Geschäftsnummer --- Numéro d'affaire Numero dell'oggetto Datum 18.02.2003 Date Data Seite 875-876 Page Pagina Ref. No</w:t>
      </w:r>
    </w:p>
    <w:p>
      <w:r>
        <w:rPr>
          <w:b/>
        </w:rPr>
        <w:t>E. 10</w:t>
      </w:r>
    </w:p>
    <w:p>
      <w:r>
        <w:t>127 006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