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2003-0071 1949 vom 6. Oktober 2000</w:t>
      </w:r>
    </w:p>
    <w:p>
      <w:r>
        <w:t>Bundesverwaltung, 2000-10-06, DE</w:t>
      </w:r>
    </w:p>
    <w:p>
      <w:r>
        <w:rPr>
          <w:b/>
        </w:rPr>
        <w:t xml:space="preserve">Quelle: </w:t>
      </w:r>
      <w:r>
        <w:t>https://mcp.opencaselaw.ch/entscheid/ch_vb_2003-0071_1949_</w:t>
      </w:r>
    </w:p>
    <w:p>
      <w:r>
        <w:t>FR: CH_VB 2003-0071 1949 du 6 octobre 2000</w:t>
      </w:r>
    </w:p>
    <w:p>
      <w:r>
        <w:t>IT: CH_VB 2003-0071 1949 del 6 ottobre 2000</w:t>
      </w:r>
    </w:p>
    <w:p>
      <w:pPr>
        <w:pStyle w:val="Heading2"/>
      </w:pPr>
      <w:r>
        <w:t>Erwägungen</w:t>
      </w:r>
    </w:p>
    <w:p>
      <w:r>
        <w:rPr>
          <w:b/>
        </w:rPr>
        <w:t>E. 1</w:t>
      </w:r>
    </w:p>
    <w:p>
      <w:r>
        <w:t>Les Parties procèdent, dans un délai de deux ans après l’entrée en vigueur de la présente Convention et tous les deux ans par la suite, et, en tout cas, toutes les fois qu’une Partie le demande, à des consultations multilatérales au sein du Conseil de l’Europe, en vue d’examiner l’application de la Convention, ainsi que l’opportunité de sa révision ou d’un élargissement de certaines de ses dispositions, en particulier en ce qui concerne les définitions visées à l’art. 2. Ces consultations auront lieu au cours de réunions convoquées par le Secrétaire Général du Conseil de l’Europe.</w:t>
      </w:r>
    </w:p>
    <w:p>
      <w:r>
        <w:rPr>
          <w:b/>
        </w:rPr>
        <w:t>E. 2</w:t>
      </w:r>
    </w:p>
    <w:p>
      <w:r>
        <w:t>Chaque Partie peut se faire représenter aux consultations multilatérales par un ou plusieurs délégués. Chaque Partie dispose d’un droit de vote. Chaque Etat partie à la présente Convention dispose d’une voix. Sur les questions relevant de sa compé- tence, la Communauté européenne exerce son droit de vote et exprime un nombre de voix égal au nombre de ses Etats membres qui sont Parties à la présente Convention. La Communauté européenne ne vote pas lorsque le vote porte sur une question qui ne relève pas de sa compétence.</w:t>
      </w:r>
    </w:p>
    <w:p>
      <w:r>
        <w:rPr>
          <w:b/>
        </w:rPr>
        <w:t>E. 3</w:t>
      </w:r>
    </w:p>
    <w:p>
      <w:r>
        <w:t>Tout Etat visé à l’art. 12, par. 1, ou la Communauté européenne, qui n’est pas partie à la présente Convention, peut se faire représenter aux réunions de consulta- tion par un observateur.</w:t>
      </w:r>
    </w:p>
    <w:p>
      <w:r>
        <w:rPr>
          <w:b/>
        </w:rPr>
        <w:t>E. 4</w:t>
      </w:r>
    </w:p>
    <w:p>
      <w:r>
        <w:t>Après chaque consultation, les Parties soumettent au Comité des Ministres du Conseil de l’Europe un rapport sur la consultation et sur le fonctionnement de la présente Convention, en y incluant, si elles l’estiment nécessaire, des propositions visant à amender la Convention.</w:t>
      </w:r>
    </w:p>
    <w:p>
      <w:r>
        <w:rPr>
          <w:b/>
        </w:rPr>
        <w:t>E. 5</w:t>
      </w:r>
    </w:p>
    <w:p>
      <w:r>
        <w:t>Tout amendement entre en vigueur le trentième jour après que toutes les Parties ont informé le Secrétaire Général qu’elles l’ont accepté.</w:t>
      </w:r>
    </w:p>
    <w:p>
      <w:r>
        <w:rPr>
          <w:b/>
        </w:rPr>
        <w:t>E. 6</w:t>
      </w:r>
    </w:p>
    <w:p>
      <w:r>
        <w:t>Le Comité des Ministres peut, sur la base d’une recommandation émise par une réunion de consultation multilatérale, décider, à la majorité prévue à l’art. 20, let. d du Statut du Conseil de l’Europe et à l’unanimité des voix des représentants des Parties habilitées à siéger au sein du Comité, qu’un amendement donné entrera en vigueur à l’expiration d’une période de deux ans à compter de la date à laquelle il aura été ouvert à l’acceptation, sauf si une Partie a notifié au Secrétaire Général du Conseil de l’Europe une objection à son entrée en vigueur. Lorsqu’une telle objec- tion a été notifiée, l’amendement entrera en vigueur le premier jour du mois suivant la date à laquelle la Partie à la Convention qui a notifié l’objection aura déposé son instrument d’acceptation auprès du Secrétaire Général du Conseil de l’Europe.</w:t>
      </w:r>
    </w:p>
    <w:p>
      <w:r>
        <w:rPr>
          <w:b/>
        </w:rPr>
        <w:t>E. 7</w:t>
      </w:r>
    </w:p>
    <w:p>
      <w:r>
        <w:t>Si un amendement a été approuvé par le Comité des Ministres, mais n’est pas encore entré en vigueur conformément aux dispositions des par. 5 ou 6 ci-dessus, un Etat ou la Communauté européenne ne peuvent pas exprimer leur consentement à être liés par la Convention sans accepter en même temps cet amendement. Art. 11 Relations avec les autres conventions ou accords 1. La présente Convention ne porte pas atteinte aux droits et obligations découlant de conventions internationales multilatérales concernant des questions particulières. 2. Les Parties à la Convention peuvent conclure entre elles des accords bilatéraux ou multilatéraux relatifs aux questions réglées par la présente Convention, aux fins de compléter ou de renforcer les dispositions de celle-ci ou de faciliter l’application des principes qu’elle consacre. 3. Lorsque deux ou plusieurs Parties ont déjà conclu un accord ou un traité sur un sujet couvert par la présente Convention, ou lorsqu’elles ont établi d’une autre manière leurs relations quant à ce sujet, elles auront la faculté d’appliquer ledit accord, traité ou arrangement au lieu de la présente Convention, si ce dernier facilite la coopération internationale. 4. Dans leurs relations mutuelles, les Parties qui sont membres de la Communauté européenne appliquent les règles de la Communauté et n’appliquent donc les règles découlant de la présente Convention que dans la mesure où il n’existe aucune règle communautaire régissant le sujet particulier concerné.</w:t>
      </w:r>
    </w:p>
    <w:p>
      <w:r>
        <w:t>Convention européenne sur la protection juridique des services d’accès conditionnel et des services à accès conditionnel 1954 Section V Clauses finales Art. 12 Signature et entrée en vigueur 1. La présente Convention est ouverte à la signature des Etats membres du Conseil de l’Europe et des autres Etats parties à la Convention culturelle européenne, ainsi qu’à celle de la Communauté européenne. Ces Etats et la Communauté européenne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3. La présente Convention entrera en vigueur le premier jour du mois qui suit l’expiration d’une période de trois mois après la date à laquelle trois Etats auront exprimé leur consentement à être liés par la Convention conformément aux dispo- sitions du paragraphe précédent. 4. Pour tout Etat signataire ou la Communauté européenne qui exprimera ultérieu- rement son consentement à être lié par la Convention, celle-ci entrera en vigueur le premier jour du mois qui suit l’expiration d’une période de trois mois après la date d’expression de son consentement à être lié par la Convention conformément aux dispositions du par. 1. Art. 13 Adhésion d’Etats non membres à la Convention 1. Après l’entrée en vigueur de la présente Convention, le Comité des Ministres du Conseil de l’Europe pourra, après consultation des Parties à la Convention, inviter tout Etat qui n’est pas mentionné à l’art. 12, par. 1, à adhérer à la présente Conven- tion, par une décision prise à la majorité prévue à l’art. 20.d du Statut du Conseil de l’Europe et à l’unanimité des représentants des Etats contractants ayant le droit de siéger au Comité. 2. Pour tout Etat adhérent, la Convention entrera en vigueur le premier jour du mois qui suit l’expiration d’une période de trois mois après la date du dépôt de l’instru- ment d’adhésion près le Secrétaire Général du Conseil de l’Europe. Art. 14 Application territoriale 1. Tout Etat ou la Communauté européenne peut, au moment de la signature ou du dépôt de son instrument de ratification, d’acceptation, d’approbation ou d’adhésion, désigner le ou les territoires auxquels s’appliquera la présente Convention. 2. Tout Etat ou la Communauté européenne peut, à tout autre moment par la suite, par une déclaration adressée au Secrétaire Général du Conseil de l’Europe, étendre l’application de la présente Convention à tout autre territoire désigné dans la décla- ration. La Convention entrera en vigueur à l’égard de ce territoire le premier jour du</w:t>
      </w:r>
    </w:p>
    <w:p>
      <w:r>
        <w:t>Convention européenne sur la protection juridique des services d’accès conditionnel et des services à accès conditionnel 1955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notifica- tion adressée au Secrétaire Général. Le retrait prendra effet le premier jour du mois qui suit l’expiration d’une période d’un mois après la date de réception de la noti- fication par le Secrétaire Général. Art. 15 Réserves Aucune réserve ne peut être formulée à la présente Convention. Art. 16 Règlement des différends En cas de différend entre les Parties sur l’interprétation ou l’application de la pré- sente Convention, les Parties s’efforceront de parvenir à un règlement amiable du différend par la négociation ou tout autre moyen pacifique de leur choix, y compris la soumission du différend à un tribunal arbitral qui prendra des décisions qui lieront les Parties au différend. Art. 17 Dénonciation 1. Toute Partie peut, à tout moment, dénoncer la présente Convention en adressant une notification au Secrétaire Général du Conseil de l’Europe. 2. La dénonciation prendra effet le premier jour du mois qui suit l’expiration d’une période de trois mois après la date de réception de la notification par le Secrétaire Général. Art. 18 Notifications Le Secrétaire Général du Conseil de l’Europe notifiera aux Etats membres du Conseil de l’Europe, aux autres Etats parties à la Convention Culturelle européenne, à la Communauté européenne et à tout Etat ayant adhéré à la présente Convention: a. toute signature conformément à l’art. 12; b. le dépôt de tout instrument de ratification, d’acceptation, d’approbation ou d’adhésion conformément aux art. 12 et 13; c. toute date d’entrée en vigueur de la présente Convention conformément aux art. 12 et 13; d. toute déclaration formulée en vertu de l’art. 4; e. toute proposition d’amendement formulée en vertu de l’art. 10; f. tout autre acte, notification ou communication ayant trait à la présente Con- vention.</w:t>
      </w:r>
    </w:p>
    <w:p>
      <w:r>
        <w:t>Convention européenne sur la protection juridique des services d’accès conditionnel et des services à accès conditionnel 1956 En foi de quoi, les soussignés, dûment autorisés à cet effet, ont signé la présente Convention. Fait à Strasbourg, le 6 octobre 2000,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autres Etats parties à la Convention Culturelle européenne, à la Communauté européenne et à tout Etat invité à adhérer à la présente Convention.</w:t>
      </w:r>
    </w:p>
    <w:p>
      <w:r>
        <w:t>Schweizerisches Bundesarchiv, Digitale Amtsdruckschriften Archives fédérales suisses, Publications officielles numérisées Archivio federale svizzero, Pubblicazioni ufficiali digitali Convention européenne &lt;bd&gt; sur la protection juridique des services à accès conditionnel et des services d'accès conditionnel In Bundesblatt Dans Feuille fédérale In Foglio federale Jahr 2004 Année Anno Band 1 Volume Volume Heft 17 Cahier Numero Geschäftsnummer --- Numéro d'affaire Numero dell'oggetto Datum 04.05.2004 Date Data Seite 1949-1956 Page Pagina Ref. No</w:t>
      </w:r>
    </w:p>
    <w:p>
      <w:r>
        <w:rPr>
          <w:b/>
        </w:rPr>
        <w:t>E. 10</w:t>
      </w:r>
    </w:p>
    <w:p>
      <w:r>
        <w:t>137 584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