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2002-1931 5613 vom 10. September 2002</w:t>
      </w:r>
    </w:p>
    <w:p>
      <w:r>
        <w:t>Bundesverwaltung, 2002-09-10, DE</w:t>
      </w:r>
    </w:p>
    <w:p>
      <w:r>
        <w:rPr>
          <w:b/>
        </w:rPr>
        <w:t xml:space="preserve">Quelle: </w:t>
      </w:r>
      <w:r>
        <w:t>https://mcp.opencaselaw.ch/entscheid/ch_vb_2002-1931_5613</w:t>
      </w:r>
    </w:p>
    <w:p>
      <w:r>
        <w:t>FR: CH_VB 2002-1931 5613 du 10 septembre 2002</w:t>
      </w:r>
    </w:p>
    <w:p>
      <w:r>
        <w:t>IT: CH_VB 2002-1931 5613 del 10 settembre 2002</w:t>
      </w:r>
    </w:p>
    <w:p>
      <w:pPr>
        <w:pStyle w:val="Heading2"/>
      </w:pPr>
      <w:r>
        <w:t>Erwägungen</w:t>
      </w:r>
    </w:p>
    <w:p>
      <w:r>
        <w:rPr>
          <w:b/>
        </w:rPr>
        <w:t>E. 1</w:t>
      </w:r>
    </w:p>
    <w:p>
      <w:r>
        <w:t>Le présent arrêté s’applique à l’industrie de la peinture et de la plâtrerie des can- tons de Zurich (à l’exception des plâtriers de la ville de Zurich), Berne, Lucerne, Uri, Schwyz, Obwald, Nidwald, Glaris, Zoug, Soleure, Schaffhouse, Appenzell Rh.-Ext., Appenzell Rh.-Int., Saint-Gall, Grisons, Argovie, Thurgovie, Jura, ainsi qu’à l’industrie de la peinture du canton du Tessin. L’article 19 de la Convention collective de travail ne s’applique pas au canton du Tessin.</w:t>
      </w:r>
    </w:p>
    <w:p>
      <w:r>
        <w:rPr>
          <w:b/>
        </w:rPr>
        <w:t>E. 2</w:t>
      </w:r>
    </w:p>
    <w:p>
      <w:r>
        <w:t>Des tirés à part de l’extension peuvent être obtenus auprès de OFCL, Diffusion publications, 3003 Berne.</w:t>
      </w:r>
    </w:p>
    <w:p>
      <w:r>
        <w:t>Convention collective de travail pour l’industrie de la peinture et de la plâtrerie. ACF 5614 b. Plâtrerie: Construction de murs, de plafonds, de sols, de revêtements, d’isolations de tout genre, crépissage intérieurs, ouvrages en stuc et crépi. Assainissement de constructions, protection de parties construites et de pièces d’œuvre con- tre les influences physiques et chimiques et celles provenant de matériaux de construction dangereux.</w:t>
      </w:r>
    </w:p>
    <w:p>
      <w:r>
        <w:rPr>
          <w:b/>
        </w:rPr>
        <w:t>E. 3</w:t>
      </w:r>
    </w:p>
    <w:p>
      <w:r>
        <w:t>Le présent arrêté s’applique à tous les employeurs et à tous les travailleurs des entreprises ou secteurs d’entreprise mentionnés à l’al. 2, à l’exception des employés de commerce, des travailleurs de la profession exerçant une fonction dirigeante supérieure, p. ex. les directeurs, et des apprentis.</w:t>
      </w:r>
    </w:p>
    <w:p>
      <w:r>
        <w:rPr>
          <w:b/>
        </w:rPr>
        <w:t>E. 4</w:t>
      </w:r>
    </w:p>
    <w:p>
      <w:r>
        <w:t>FF 2001 3253</w:t>
      </w:r>
    </w:p>
    <w:p>
      <w:r>
        <w:t>Schweizerisches Bundesarchiv, Digitale Amtsdruckschriften Archives fédérales suisses, Publications officielles numérisées Archivio federale svizzero, Pubblicazioni ufficiali digitali Arrêté du Conseil fédéral &lt;bd&gt; étendant le champ d'application de la convention collective de travail pour l'industrie de la peinture et de la plâtrerie In Bundesblatt Dans Feuille fédérale In Foglio federale Jahr 2002 Année Anno Band 1 Volume Volume Heft 38 Cahier Numero Geschäftsnummer --- Numéro d'affaire Numero dell'oggetto Datum 24.09.2002 Date Data Seite 5613-5615 Page Pagina Ref. No 10 126 616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