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2002-1302 4359 vom 31. Januar 2002</w:t>
      </w:r>
    </w:p>
    <w:p>
      <w:r>
        <w:t>Bundesverwaltung, 2002-01-31, DE</w:t>
      </w:r>
    </w:p>
    <w:p>
      <w:r>
        <w:rPr>
          <w:b/>
        </w:rPr>
        <w:t xml:space="preserve">Quelle: </w:t>
      </w:r>
      <w:r>
        <w:t>https://mcp.opencaselaw.ch/entscheid/ch_vb_2002-1302_4359</w:t>
      </w:r>
    </w:p>
    <w:p>
      <w:r>
        <w:t>FR: CH_VB 2002-1302 4359 du 31 janvier 2002</w:t>
      </w:r>
    </w:p>
    <w:p>
      <w:r>
        <w:t>IT: CH_VB 2002-1302 4359 del 31 gennaio 2002</w:t>
      </w:r>
    </w:p>
    <w:p>
      <w:pPr>
        <w:pStyle w:val="Heading2"/>
      </w:pPr>
      <w:r>
        <w:t>Volltext</w:t>
      </w:r>
    </w:p>
    <w:p>
      <w:r>
        <w:t>2002-1302 4359 46203 Mécanicien en motocycles/Mécanicienne en motocycles Motorradmechaniker/Motorradmechanikerin Meccanico di motoveicoli/Meccanica di motoveicoli Mécanicien en motocycles/Mécanicienne en motocycles A Règlement d’apprentissage et d’examen de fin d’apprentissage du 31 janvier 2002 B Programme d’enseignement professionnel du 31 janvier 2002 Entrée en vigueur 1er janvier 2002 (Les prescriptions relatives à l’examen de fin d’apprentissage entrent en vigueur que le 1er janvier 2006)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Mécanicien en motocycles/Mécanicienne en motocycles. Règlement d'apprentissage et d'examen de fin d'apprentissage In Bundesblatt Dans Feuille fédérale In Foglio federale Jahr 2002 Année Anno Band 1 Volume Volume Heft 28 Cahier Numero Geschäftsnummer --- Numéro d'affaire Numero dell'oggetto Datum 16.07.2002 Date Data Seite 4359-4359 Page Pagina Ref. No 10 126 469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