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2002-0799 4033 vom 2. Juli 2002</w:t>
      </w:r>
    </w:p>
    <w:p>
      <w:r>
        <w:t>Bundesverwaltung, 2002-07-02, DE</w:t>
      </w:r>
    </w:p>
    <w:p>
      <w:r>
        <w:rPr>
          <w:b/>
        </w:rPr>
        <w:t xml:space="preserve">Quelle: </w:t>
      </w:r>
      <w:r>
        <w:t>https://mcp.opencaselaw.ch/entscheid/ch_vb_2002-0799_4033</w:t>
      </w:r>
    </w:p>
    <w:p>
      <w:r>
        <w:t>FR: CH_VB 2002-0799 4033 du 2 juillet 2002</w:t>
      </w:r>
    </w:p>
    <w:p>
      <w:r>
        <w:t>IT: CH_VB 2002-0799 4033 del 2 luglio 2002</w:t>
      </w:r>
    </w:p>
    <w:p>
      <w:pPr>
        <w:pStyle w:val="Heading2"/>
      </w:pPr>
      <w:r>
        <w:t>Erwägungen</w:t>
      </w:r>
    </w:p>
    <w:p>
      <w:r>
        <w:rPr>
          <w:b/>
        </w:rPr>
        <w:t>E. 1</w:t>
      </w:r>
    </w:p>
    <w:p>
      <w:r>
        <w:t>La Confédération suisse cède à la République fédérale d’Allemagne: a) dans la commune de Bargen, canton de Schaffhouse, une surface de 46 m2 entre les bornes 603 et 604 (plan no 1), b) dans la commune de Barzheim, canton de Schaffhouse, une surface totale de 2616 m2 entre les bornes 858 à 865 (plan no 2), c) dans la commune de Barzheim, canton de Schaffhouse, une surface totale de 2051 m2 entre les bornes 869 à 879 (plan no 3 ), d) dans la commune de Dörflingen, canton de Schaffhouse, une surface totale de 1332 m2 entre les bornes 13 à 18 (plan no 4), e) dans la commune de Hüntwangen, canton de Zurich, une surface totale de 165 m2 entre les bornes 3 à 4b (plan no 5), f) dans la commune de Wasterkingen, canton de Zurich, une surface totale de 152 m2 entre les bornes 4b à 6 (plan no 5).</w:t>
      </w:r>
    </w:p>
    <w:p>
      <w:r>
        <w:rPr>
          <w:b/>
        </w:rPr>
        <w:t>E. 2</w:t>
      </w:r>
    </w:p>
    <w:p>
      <w:r>
        <w:t>La République fédérale d’Allemagne cède à la Confédération suisse: a) dans la ville de Blumberg, «Schwarzwald-Baar-Kreis», une surface de 46 m2 entre les bornes 603 et 604 (plan no 1), b) dans la commune de Hilzingen, «Landkreis» de Constance, une surface to- tale de 2616 m2 entre les bornes 858 à 865 (plan no 2),</w:t>
      </w:r>
    </w:p>
    <w:p>
      <w:r>
        <w:t>1 Traduction du texte original allemand.</w:t>
      </w:r>
    </w:p>
    <w:p>
      <w:r>
        <w:t>Tracé de la frontière. Convention avec l’Allemagne 4034 c) dans la commune de Hilzingen, «Landkreis» de Constance, une surface to- tale de 2051 m2 entre les bornes 869 à 879 (plan n° 3), d) dans la commune de Büsingen am Hochrhein, «Landkreis» de Constance, une surface totale de 1332 m2 entre les bornes 13 à 18 (plan no 4), e) dans la commune de Hohentengen am Hochrhein, «Landkreis» de Waldshut, une surface totale de 165 m2 entre les bornes 3 à 4b (plan no 5), f) dans la commune de Hohentengen am Hochrhein, «Landkreis» de Waldshut, une surface totale de 152 m2 entre les bornes 4b à 6 (plan no 5).</w:t>
      </w:r>
    </w:p>
    <w:p>
      <w:r>
        <w:rPr>
          <w:b/>
        </w:rPr>
        <w:t>E. 3</w:t>
      </w:r>
    </w:p>
    <w:p>
      <w:r>
        <w:t>Les frais relatifs à la modification de l’abornement rendue nécessaire par la présente Convention seront répartis par moitié entre les deux Etats contractants. Art.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