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2002-0715 4649 vom 23. Juli 2002</w:t>
      </w:r>
    </w:p>
    <w:p>
      <w:r>
        <w:t>Bundesverwaltung, 2002-07-23, DE</w:t>
      </w:r>
    </w:p>
    <w:p>
      <w:r>
        <w:rPr>
          <w:b/>
        </w:rPr>
        <w:t xml:space="preserve">Quelle: </w:t>
      </w:r>
      <w:r>
        <w:t>https://mcp.opencaselaw.ch/entscheid/ch_vb_2002-0715_4649</w:t>
      </w:r>
    </w:p>
    <w:p>
      <w:r>
        <w:t>FR: CH_VB 2002-0715 4649 du 23 juillet 2002</w:t>
      </w:r>
    </w:p>
    <w:p>
      <w:r>
        <w:t>IT: CH_VB 2002-0715 4649 del 23 luglio 2002</w:t>
      </w:r>
    </w:p>
    <w:p>
      <w:pPr>
        <w:pStyle w:val="Heading2"/>
      </w:pPr>
      <w:r>
        <w:t>Erwägungen</w:t>
      </w:r>
    </w:p>
    <w:p>
      <w:r>
        <w:rPr>
          <w:b/>
        </w:rPr>
        <w:t>E. 1</w:t>
      </w:r>
    </w:p>
    <w:p>
      <w:r>
        <w:t>Les chiens doivent être identifiés et enregistrés dans une banque de données.</w:t>
      </w:r>
    </w:p>
    <w:p>
      <w:r>
        <w:rPr>
          <w:b/>
        </w:rPr>
        <w:t>E. 2</w:t>
      </w:r>
    </w:p>
    <w:p>
      <w:r>
        <w:t>Ces contributions sont versées aux détenteurs de bovins, d’ovins, de caprins et de porcins ainsi qu’aux abattoirs.</w:t>
      </w:r>
    </w:p>
    <w:p>
      <w:r>
        <w:rPr>
          <w:b/>
        </w:rPr>
        <w:t>E. 3</w:t>
      </w:r>
    </w:p>
    <w:p>
      <w:r>
        <w:t>Le Conseil fédéral fixe le montant de la contribution par animal.</w:t>
      </w:r>
    </w:p>
    <w:p>
      <w:r>
        <w:rPr>
          <w:b/>
        </w:rPr>
        <w:t>E. 4</w:t>
      </w:r>
    </w:p>
    <w:p>
      <w:r>
        <w:t>RS 910.1</w:t>
      </w:r>
    </w:p>
    <w:p>
      <w:r>
        <w:t>Loi sur les épizooties 4650 2 Si les conditions liées à l’octroi d’une contribution ne sont plus remplies ou que les charges ou les conditions n’ont pas été respectées, la restitution totale ou par- tielle de la contribution est exigée. 3 Les contributions indûment obtenues doivent être restituées ou compensées indé- pendamment de l’application des dispositions pénales. Art. 56, al. 3 (nouveau) 3 Les cantons perçoivent les taxes pour les contrôles de surveillance du cheptel suisse (art. 57, al. 3, let. c) ayant donné lieu à des contestations. Art. 57, al. 2 et 3, let. c (nouvelle) 2 Il peut, en cas d’urgence: a. édicter des prescriptions de durée limitée si une nouvelle épizootie qui ne faisait pas jusque-là l’objet d’une réglementation survient brusquement ou menace de s’étendre à la Suisse; b. prendre pour l’ensemble du territoire ou certaines régions des mesures tem- poraires au sens de l’art. 10, al. 1, ch. 6, lorsqu’une épizootie hautement contagieuse menace de s’étendre à la Suisse. 3 L’Office vétérinaire fédéral: c. détermine chaque année, après entente avec les cantons, les exploitations qui doivent être contrôlées par les cantons dans le cadre de la surveillance du cheptel suisse; il fixe les critères du contrôle et prescrit ce qui doit lui être communiqué.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sur les épizooties In Bundesblatt Dans Feuille fédérale In Foglio federale Jahr 2002 Année Anno Band 1 Volume Volume Heft 29 Cahier Numero Geschäftsnummer --- Numéro d'affaire Numero dell'oggetto Datum 23.07.2002 Date Data Seite 4649-4650 Page Pagina Ref. No 10 126 487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