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2002-0101 3677 vom 4. Juni 2002</w:t>
      </w:r>
    </w:p>
    <w:p>
      <w:r>
        <w:t>Bundesverwaltung, 2002-06-04, DE</w:t>
      </w:r>
    </w:p>
    <w:p>
      <w:r>
        <w:rPr>
          <w:b/>
        </w:rPr>
        <w:t xml:space="preserve">Quelle: </w:t>
      </w:r>
      <w:r>
        <w:t>https://mcp.opencaselaw.ch/entscheid/ch_vb_2002-0101_3677</w:t>
      </w:r>
    </w:p>
    <w:p>
      <w:r>
        <w:t>FR: CH_VB 2002-0101 3677 du 4 juin 2002</w:t>
      </w:r>
    </w:p>
    <w:p>
      <w:r>
        <w:t>IT: CH_VB 2002-0101 3677 del 4 giugno 2002</w:t>
      </w:r>
    </w:p>
    <w:p>
      <w:pPr>
        <w:pStyle w:val="Heading2"/>
      </w:pPr>
      <w:r>
        <w:t>Erwägungen</w:t>
      </w:r>
    </w:p>
    <w:p>
      <w:r>
        <w:rPr>
          <w:b/>
        </w:rPr>
        <w:t>E. 1</w:t>
      </w:r>
    </w:p>
    <w:p>
      <w:r>
        <w:t>Un conducteur est réputé en tout cas incapable de conduire parce qu’il est sous l’effet de l’alcool (état d’ébriété) lorsqu’il présente un taux d’alcoolémie de 0,5 gramme pour mille ou plus ou que son organisme contient une quantité d’alcool entraînant un tel taux d’alcoolémie.</w:t>
      </w:r>
    </w:p>
    <w:p>
      <w:r>
        <w:rPr>
          <w:b/>
        </w:rPr>
        <w:t>E. 2</w:t>
      </w:r>
    </w:p>
    <w:p>
      <w:r>
        <w:t>FF 2002 3669</w:t>
      </w:r>
    </w:p>
    <w:p>
      <w:r>
        <w:t>Schweizerisches Bundesarchiv, Digitale Amtsdruckschriften Archives fédérales suisses, Publications officielles numérisées Archivio federale svizzero, Pubblicazioni ufficiali digitali Ordonnance de l'Assemblée fédérale &lt;bd&gt; concernant les taux d'alcoolémie limites admis en matière de circulation routière In Bundesblatt Dans Feuille fédérale In Foglio federale Jahr 2002 Année Anno Band 1 Volume Volume Heft 22 Cahier Numero Geschäftsnummer --- Numéro d'affaire Numero dell'oggetto Datum 04.06.2002 Date Data Seite 3677-3677 Page Pagina Ref. No 10 126 328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